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F167D">
      <w:pPr>
        <w:jc w:val="both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污水处理厂周边土壤和地下水监测项目综合</w:t>
      </w:r>
      <w:bookmarkStart w:id="0" w:name="_GoBack"/>
      <w:bookmarkEnd w:id="0"/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评分标准（总分100分）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185"/>
        <w:gridCol w:w="5804"/>
        <w:gridCol w:w="869"/>
      </w:tblGrid>
      <w:tr w14:paraId="64A4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19EFED98">
            <w:pPr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color w:val="auto"/>
                <w:szCs w:val="21"/>
                <w:lang w:val="en-US" w:eastAsia="zh-CN"/>
              </w:rPr>
              <w:t>序号</w:t>
            </w:r>
          </w:p>
        </w:tc>
        <w:tc>
          <w:tcPr>
            <w:tcW w:w="1185" w:type="dxa"/>
            <w:vAlign w:val="center"/>
          </w:tcPr>
          <w:p w14:paraId="578BB09B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评分因素</w:t>
            </w:r>
          </w:p>
        </w:tc>
        <w:tc>
          <w:tcPr>
            <w:tcW w:w="5804" w:type="dxa"/>
            <w:vAlign w:val="center"/>
          </w:tcPr>
          <w:p w14:paraId="0466E20E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评审标准</w:t>
            </w:r>
          </w:p>
        </w:tc>
        <w:tc>
          <w:tcPr>
            <w:tcW w:w="869" w:type="dxa"/>
            <w:vAlign w:val="center"/>
          </w:tcPr>
          <w:p w14:paraId="17186072">
            <w:pPr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分值</w:t>
            </w:r>
          </w:p>
        </w:tc>
      </w:tr>
      <w:tr w14:paraId="5DC6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7D2C1902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  <w:tc>
          <w:tcPr>
            <w:tcW w:w="1185" w:type="dxa"/>
            <w:vAlign w:val="center"/>
          </w:tcPr>
          <w:p w14:paraId="7675EB91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价格评分</w:t>
            </w:r>
          </w:p>
          <w:p w14:paraId="4D3C9039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分）</w:t>
            </w:r>
          </w:p>
        </w:tc>
        <w:tc>
          <w:tcPr>
            <w:tcW w:w="5804" w:type="dxa"/>
            <w:vAlign w:val="center"/>
          </w:tcPr>
          <w:p w14:paraId="1B3F50B1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（1）投标报价：</w:t>
            </w:r>
          </w:p>
          <w:p w14:paraId="75304914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满足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遴选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文件要求且投标价格最低的投标报价为评标基准价，其价格分为满分。其他投标人的价格分统一按照下列公式计算：</w:t>
            </w:r>
          </w:p>
          <w:p w14:paraId="07A021E2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投标报价得分=（评标基准价/投标报价）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×10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，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结果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保留2位。</w:t>
            </w:r>
          </w:p>
        </w:tc>
        <w:tc>
          <w:tcPr>
            <w:tcW w:w="869" w:type="dxa"/>
            <w:vAlign w:val="center"/>
          </w:tcPr>
          <w:p w14:paraId="4A3BD96C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10分</w:t>
            </w:r>
          </w:p>
        </w:tc>
      </w:tr>
      <w:tr w14:paraId="4E6E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4BFC47F8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2.1</w:t>
            </w:r>
          </w:p>
        </w:tc>
        <w:tc>
          <w:tcPr>
            <w:tcW w:w="1185" w:type="dxa"/>
            <w:vMerge w:val="restart"/>
            <w:vAlign w:val="center"/>
          </w:tcPr>
          <w:p w14:paraId="69446FFB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技术方案</w:t>
            </w:r>
          </w:p>
          <w:p w14:paraId="5C0E5258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60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分）</w:t>
            </w:r>
          </w:p>
        </w:tc>
        <w:tc>
          <w:tcPr>
            <w:tcW w:w="5804" w:type="dxa"/>
            <w:vAlign w:val="center"/>
          </w:tcPr>
          <w:p w14:paraId="1DF8BFDB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（1）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项目需求理解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：</w:t>
            </w:r>
          </w:p>
          <w:p w14:paraId="5040595C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对污水处理厂周边土壤和地下水监测项目背景、监测目标、污染源特征、监测因子、执行标准等认识准确，理解透彻全面，描述详细，得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00AC695D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有基本认识，内容描述基本清晰，得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12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58392B91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有基本认识，描述简单，得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39897060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认识不清晰，描述简单、不完整，得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13BE3A0B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没有不得分。</w:t>
            </w:r>
          </w:p>
        </w:tc>
        <w:tc>
          <w:tcPr>
            <w:tcW w:w="869" w:type="dxa"/>
            <w:vAlign w:val="center"/>
          </w:tcPr>
          <w:p w14:paraId="2A5C97EA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</w:p>
        </w:tc>
      </w:tr>
      <w:tr w14:paraId="2BC52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2DA93A5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2.2</w:t>
            </w:r>
          </w:p>
        </w:tc>
        <w:tc>
          <w:tcPr>
            <w:tcW w:w="1185" w:type="dxa"/>
            <w:vMerge w:val="continue"/>
            <w:vAlign w:val="center"/>
          </w:tcPr>
          <w:p w14:paraId="7445E37F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804" w:type="dxa"/>
            <w:vAlign w:val="center"/>
          </w:tcPr>
          <w:p w14:paraId="0CBE4D52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cs="Times New Roman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cs="Times New Roman"/>
                <w:color w:val="auto"/>
                <w:szCs w:val="21"/>
                <w:lang w:eastAsia="zh-CN"/>
              </w:rPr>
              <w:t>）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监测实施方案（包含监测点位布设、现场采样、实验室检测、数据分析等完整内容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eastAsia="zh-CN"/>
              </w:rPr>
              <w:t>）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：</w:t>
            </w:r>
          </w:p>
          <w:p w14:paraId="1AC010D5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方案体系完整规范，点位布设科学合规、贴合污水处理厂污染扩散规律，采样检测流程符合国标规范，重难点识别精准、应对措施针对性强、可落地性高，得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5D18E42D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方案内容完整，点位布设、采样检测流程合理，应对措施齐全，满足项目监测要求，得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12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0292F24D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方案内容基本完整，核心流程无明显缺陷，应对措施基本可行，针对性一般，得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5ACFC094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方案存在明显漏洞，点位布设、检测流程不合理，措施缺乏可行性，得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7CFDB721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没有不得分。</w:t>
            </w:r>
          </w:p>
        </w:tc>
        <w:tc>
          <w:tcPr>
            <w:tcW w:w="869" w:type="dxa"/>
            <w:vAlign w:val="center"/>
          </w:tcPr>
          <w:p w14:paraId="267C4CE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15分</w:t>
            </w:r>
          </w:p>
        </w:tc>
      </w:tr>
      <w:tr w14:paraId="4C469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31F208F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2.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185" w:type="dxa"/>
            <w:vMerge w:val="continue"/>
            <w:vAlign w:val="center"/>
          </w:tcPr>
          <w:p w14:paraId="628A7975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804" w:type="dxa"/>
            <w:vAlign w:val="center"/>
          </w:tcPr>
          <w:p w14:paraId="30F19879">
            <w:pPr>
              <w:numPr>
                <w:ilvl w:val="0"/>
                <w:numId w:val="1"/>
              </w:numPr>
              <w:jc w:val="left"/>
              <w:rPr>
                <w:rFonts w:hint="eastAsia" w:cs="Times New Roman"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重难点研判及专项应对措施</w:t>
            </w:r>
            <w:r>
              <w:rPr>
                <w:rFonts w:hint="eastAsia" w:cs="Times New Roman"/>
                <w:color w:val="auto"/>
                <w:szCs w:val="21"/>
                <w:lang w:eastAsia="zh-CN"/>
              </w:rPr>
              <w:t>：</w:t>
            </w:r>
          </w:p>
          <w:p w14:paraId="0C236DCE">
            <w:pPr>
              <w:jc w:val="left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重难点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研判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把握准确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，专项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应对措施针对性强、可落地性高，得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分；</w:t>
            </w:r>
          </w:p>
          <w:p w14:paraId="250FC3B9">
            <w:pPr>
              <w:jc w:val="left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重难点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研判基本准确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专项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应对措施齐全，满足项目监测要求，得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12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分；</w:t>
            </w:r>
          </w:p>
          <w:p w14:paraId="02C53585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方案内容基本完整，核心流程无明显缺陷，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专项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应对措施基本可行，针对性一般，得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2EB0C0E7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方案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简单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，措施缺乏可行性，得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6D528DAD">
            <w:pPr>
              <w:numPr>
                <w:ilvl w:val="0"/>
                <w:numId w:val="0"/>
              </w:numPr>
              <w:jc w:val="left"/>
              <w:rPr>
                <w:rFonts w:hint="eastAsia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没有不得分。</w:t>
            </w:r>
          </w:p>
        </w:tc>
        <w:tc>
          <w:tcPr>
            <w:tcW w:w="869" w:type="dxa"/>
            <w:vAlign w:val="center"/>
          </w:tcPr>
          <w:p w14:paraId="4F61640F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</w:p>
        </w:tc>
      </w:tr>
      <w:tr w14:paraId="39FEE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3193B6C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2.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85" w:type="dxa"/>
            <w:vMerge w:val="continue"/>
            <w:vAlign w:val="center"/>
          </w:tcPr>
          <w:p w14:paraId="3CA24143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804" w:type="dxa"/>
            <w:vAlign w:val="center"/>
          </w:tcPr>
          <w:p w14:paraId="1A4E2FE7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）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服务质量保证措施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：</w:t>
            </w:r>
          </w:p>
          <w:p w14:paraId="5DDDBC95">
            <w:pPr>
              <w:jc w:val="left"/>
              <w:rPr>
                <w:rFonts w:hint="eastAsia"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措施细化完善、条理清晰，覆盖采样、检测、数据分析、报告编制全流程，进度计划科学合理、节点明确，可落地、可溯源，得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分；</w:t>
            </w:r>
          </w:p>
          <w:p w14:paraId="0B7A6ECB">
            <w:pPr>
              <w:jc w:val="left"/>
              <w:rPr>
                <w:rFonts w:hint="eastAsia"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质量管控、进度保障措施较为完善，覆盖核心工作环节，能够保障项目正常推进，得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分；</w:t>
            </w:r>
          </w:p>
          <w:p w14:paraId="0B76D39F">
            <w:pPr>
              <w:jc w:val="left"/>
              <w:rPr>
                <w:rFonts w:hint="eastAsia"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具备基础保障措施，内容较为简单，细节欠缺，基本满足项目要求，得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分；</w:t>
            </w:r>
          </w:p>
          <w:p w14:paraId="253308EC">
            <w:pPr>
              <w:jc w:val="left"/>
              <w:rPr>
                <w:rFonts w:hint="eastAsia"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保障措施不完善、针对性差，难以保障项目质量及进度，得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分；</w:t>
            </w:r>
          </w:p>
          <w:p w14:paraId="699B0F49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没有不得分。</w:t>
            </w:r>
          </w:p>
        </w:tc>
        <w:tc>
          <w:tcPr>
            <w:tcW w:w="869" w:type="dxa"/>
            <w:vAlign w:val="center"/>
          </w:tcPr>
          <w:p w14:paraId="38752771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</w:p>
        </w:tc>
      </w:tr>
      <w:tr w14:paraId="260B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7B34AEFD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3.1</w:t>
            </w:r>
          </w:p>
        </w:tc>
        <w:tc>
          <w:tcPr>
            <w:tcW w:w="1185" w:type="dxa"/>
            <w:vMerge w:val="restart"/>
            <w:vAlign w:val="center"/>
          </w:tcPr>
          <w:p w14:paraId="7B04BB7C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综合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实力</w:t>
            </w:r>
          </w:p>
          <w:p w14:paraId="2F2A26A2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（30分）</w:t>
            </w:r>
          </w:p>
        </w:tc>
        <w:tc>
          <w:tcPr>
            <w:tcW w:w="5804" w:type="dxa"/>
            <w:vAlign w:val="center"/>
          </w:tcPr>
          <w:p w14:paraId="3F569E4A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（1）投标人工作业绩：</w:t>
            </w:r>
          </w:p>
          <w:p w14:paraId="7F18DF1A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投标人工作业绩：近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年以来投标人承担过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环境监测项目业绩的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，每有1个得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分，满分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分。</w:t>
            </w:r>
            <w:r>
              <w:rPr>
                <w:rFonts w:hint="eastAsia" w:cs="Times New Roman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提供相应中标（或成交）通知书或合同复印件，提供的证明材料须能反映相关内容</w:t>
            </w:r>
            <w:r>
              <w:rPr>
                <w:rFonts w:hint="eastAsia" w:cs="Times New Roman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869" w:type="dxa"/>
            <w:vAlign w:val="center"/>
          </w:tcPr>
          <w:p w14:paraId="7833E8DF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</w:p>
        </w:tc>
      </w:tr>
      <w:tr w14:paraId="723A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2EE1D980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3.2</w:t>
            </w:r>
          </w:p>
        </w:tc>
        <w:tc>
          <w:tcPr>
            <w:tcW w:w="1185" w:type="dxa"/>
            <w:vMerge w:val="continue"/>
            <w:vAlign w:val="center"/>
          </w:tcPr>
          <w:p w14:paraId="2961CDE8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804" w:type="dxa"/>
            <w:vAlign w:val="center"/>
          </w:tcPr>
          <w:p w14:paraId="1508EEC4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（2）</w:t>
            </w:r>
            <w:r>
              <w:rPr>
                <w:rFonts w:hint="eastAsia" w:ascii="Times New Roman" w:hAnsi="Times New Roman" w:cs="Times New Roman"/>
                <w:color w:val="auto"/>
                <w:szCs w:val="21"/>
              </w:rPr>
              <w:t>项目负责人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：</w:t>
            </w:r>
          </w:p>
          <w:p w14:paraId="6EB88400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具有环境类相关专业高级工程师职称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分；</w:t>
            </w:r>
          </w:p>
          <w:p w14:paraId="06DDD310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具有环境类相关专业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中或初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级工程师职称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eastAsia="zh-CN"/>
              </w:rPr>
              <w:t>。</w:t>
            </w:r>
          </w:p>
          <w:p w14:paraId="6347A7D8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本项最高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eastAsia="zh-CN"/>
              </w:rPr>
              <w:t>；</w:t>
            </w:r>
          </w:p>
          <w:p w14:paraId="2824FEEC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注：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须提供职称证书及近6个月任意1个月投标人缴纳的社保证明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复印件</w:t>
            </w:r>
            <w:r>
              <w:rPr>
                <w:rFonts w:hint="eastAsia" w:cs="Times New Roman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不提供或提供不全不得分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。）</w:t>
            </w:r>
          </w:p>
        </w:tc>
        <w:tc>
          <w:tcPr>
            <w:tcW w:w="869" w:type="dxa"/>
            <w:vAlign w:val="center"/>
          </w:tcPr>
          <w:p w14:paraId="2E545BB5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</w:p>
        </w:tc>
      </w:tr>
      <w:tr w14:paraId="25CB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7163331F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3.3</w:t>
            </w:r>
          </w:p>
        </w:tc>
        <w:tc>
          <w:tcPr>
            <w:tcW w:w="1185" w:type="dxa"/>
            <w:vMerge w:val="continue"/>
            <w:vAlign w:val="center"/>
          </w:tcPr>
          <w:p w14:paraId="05AD1BD5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804" w:type="dxa"/>
            <w:vAlign w:val="center"/>
          </w:tcPr>
          <w:p w14:paraId="1A38ACED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项目组成员（除项目负责人外）：</w:t>
            </w:r>
          </w:p>
          <w:p w14:paraId="688F1856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具有环境类相关专业高级工程师职称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/人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；</w:t>
            </w:r>
          </w:p>
          <w:p w14:paraId="371CF83D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具有环境类相关专业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中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或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初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级工程师职称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得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/人</w:t>
            </w:r>
            <w:r>
              <w:rPr>
                <w:rFonts w:hint="eastAsia" w:cs="Times New Roman"/>
                <w:color w:val="auto"/>
                <w:szCs w:val="21"/>
                <w:lang w:eastAsia="zh-CN"/>
              </w:rPr>
              <w:t>。</w:t>
            </w:r>
          </w:p>
          <w:p w14:paraId="4B754E4C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本项最高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eastAsia="zh-CN"/>
              </w:rPr>
              <w:t>；</w:t>
            </w:r>
          </w:p>
          <w:p w14:paraId="5D117FB0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注：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须提供职称证书及近6个月任意1个月投标人缴纳的社保证明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复印件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。</w:t>
            </w: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单人不重复计分。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）</w:t>
            </w:r>
          </w:p>
        </w:tc>
        <w:tc>
          <w:tcPr>
            <w:tcW w:w="869" w:type="dxa"/>
            <w:vAlign w:val="center"/>
          </w:tcPr>
          <w:p w14:paraId="035C5D74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分</w:t>
            </w:r>
          </w:p>
        </w:tc>
      </w:tr>
      <w:tr w14:paraId="212DA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664" w:type="dxa"/>
            <w:vAlign w:val="center"/>
          </w:tcPr>
          <w:p w14:paraId="62843C0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3.4</w:t>
            </w:r>
          </w:p>
        </w:tc>
        <w:tc>
          <w:tcPr>
            <w:tcW w:w="1185" w:type="dxa"/>
            <w:vMerge w:val="continue"/>
            <w:vAlign w:val="center"/>
          </w:tcPr>
          <w:p w14:paraId="72CB120B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804" w:type="dxa"/>
            <w:vAlign w:val="center"/>
          </w:tcPr>
          <w:p w14:paraId="1D0D4F2B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投标人具备项目土壤、地下水监测能力，可出具CMA报告的得满分9分。（提供相关证书及能力附表复印件，不提供或提供不全不得分）</w:t>
            </w:r>
          </w:p>
        </w:tc>
        <w:tc>
          <w:tcPr>
            <w:tcW w:w="869" w:type="dxa"/>
            <w:vAlign w:val="center"/>
          </w:tcPr>
          <w:p w14:paraId="33FF536D">
            <w:pPr>
              <w:jc w:val="center"/>
              <w:rPr>
                <w:rFonts w:hint="default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Cs w:val="21"/>
                <w:lang w:val="en-US" w:eastAsia="zh-CN"/>
              </w:rPr>
              <w:t>9分</w:t>
            </w:r>
          </w:p>
        </w:tc>
      </w:tr>
      <w:tr w14:paraId="3185D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653" w:type="dxa"/>
            <w:gridSpan w:val="3"/>
            <w:vAlign w:val="center"/>
          </w:tcPr>
          <w:p w14:paraId="59679642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  <w:p w14:paraId="0BCFFE71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总分</w:t>
            </w:r>
          </w:p>
          <w:p w14:paraId="2EBAEBE4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53F86829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100分</w:t>
            </w:r>
          </w:p>
        </w:tc>
      </w:tr>
    </w:tbl>
    <w:p w14:paraId="72B93834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EAC3C9"/>
    <w:multiLevelType w:val="singleLevel"/>
    <w:tmpl w:val="A0EAC3C9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749"/>
    <w:rsid w:val="000549D1"/>
    <w:rsid w:val="000A667C"/>
    <w:rsid w:val="000D1628"/>
    <w:rsid w:val="0060115F"/>
    <w:rsid w:val="0066226B"/>
    <w:rsid w:val="00752102"/>
    <w:rsid w:val="00772749"/>
    <w:rsid w:val="007F32D5"/>
    <w:rsid w:val="00A36524"/>
    <w:rsid w:val="00BB5810"/>
    <w:rsid w:val="00ED5509"/>
    <w:rsid w:val="00F40DD1"/>
    <w:rsid w:val="00FF5CED"/>
    <w:rsid w:val="0AC77248"/>
    <w:rsid w:val="0B904657"/>
    <w:rsid w:val="0DF2282E"/>
    <w:rsid w:val="113F7936"/>
    <w:rsid w:val="12751C80"/>
    <w:rsid w:val="13D44784"/>
    <w:rsid w:val="1A3C5CC5"/>
    <w:rsid w:val="27192429"/>
    <w:rsid w:val="27521B29"/>
    <w:rsid w:val="2A5054A5"/>
    <w:rsid w:val="31BC6B2B"/>
    <w:rsid w:val="32E0022A"/>
    <w:rsid w:val="36F77EB7"/>
    <w:rsid w:val="391D2695"/>
    <w:rsid w:val="3DC15BF5"/>
    <w:rsid w:val="4DC91DCC"/>
    <w:rsid w:val="4F344B2D"/>
    <w:rsid w:val="508311F9"/>
    <w:rsid w:val="530F0D59"/>
    <w:rsid w:val="64F16511"/>
    <w:rsid w:val="66D81B9B"/>
    <w:rsid w:val="6B342C98"/>
    <w:rsid w:val="6BC32289"/>
    <w:rsid w:val="6FB865A9"/>
    <w:rsid w:val="733940CD"/>
    <w:rsid w:val="772E0EFE"/>
    <w:rsid w:val="781E2F01"/>
    <w:rsid w:val="79184549"/>
    <w:rsid w:val="7B21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0"/>
    <w:qFormat/>
    <w:uiPriority w:val="0"/>
    <w:pPr>
      <w:spacing w:after="120"/>
    </w:p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  <w:rPr>
      <w:rFonts w:ascii="楷体_GB2312" w:eastAsia="楷体_GB2312"/>
      <w:sz w:val="32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paragraph" w:styleId="5">
    <w:name w:val="Body Text First Indent"/>
    <w:basedOn w:val="2"/>
    <w:qFormat/>
    <w:uiPriority w:val="0"/>
    <w:pPr>
      <w:tabs>
        <w:tab w:val="left" w:pos="2020"/>
        <w:tab w:val="center" w:pos="4535"/>
      </w:tabs>
      <w:ind w:firstLine="420" w:firstLineChars="100"/>
    </w:pPr>
  </w:style>
  <w:style w:type="paragraph" w:styleId="6">
    <w:name w:val="Body Text First Indent 2"/>
    <w:basedOn w:val="3"/>
    <w:qFormat/>
    <w:uiPriority w:val="99"/>
    <w:pPr>
      <w:spacing w:after="0" w:line="360" w:lineRule="auto"/>
      <w:ind w:left="0" w:leftChars="0" w:firstLine="420" w:firstLineChars="200"/>
    </w:pPr>
    <w:rPr>
      <w:rFonts w:ascii="宋体" w:hAnsi="宋体" w:eastAsia="宋体"/>
      <w:kern w:val="0"/>
      <w:sz w:val="20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5e861cb-c8ab-4cd6-97bf-eb3cc2e8ed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949</Words>
  <Characters>978</Characters>
  <Lines>2</Lines>
  <Paragraphs>1</Paragraphs>
  <TotalTime>20</TotalTime>
  <ScaleCrop>false</ScaleCrop>
  <LinksUpToDate>false</LinksUpToDate>
  <CharactersWithSpaces>978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2025-06-06T02:04:00Z</dcterms:created>
  <dc:creator>911624</dc:creator>
  <cp:lastModifiedBy>邢思佳</cp:lastModifiedBy>
  <cp:lastPrinted>2026-10-15T02:50:00Z</cp:lastPrinted>
  <dcterms:modified xsi:type="dcterms:W3CDTF">2026-10-15T02:52:22Z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eyJoZGlkIjoiOTNiZDY2MWU1NmIxYTAwMGU2YTcxYWEyOTIzOWFhMWQiLCJ1c2VySWQiOiIxNzA5Mjc2NzgzIn0=</vt:lpwstr>
  </property>
  <property fmtid="{D5CDD505-2E9C-101B-9397-08002B2CF9AE}" pid="3" name="KSOProductBuildVer">
    <vt:lpwstr>2052-12.1.0.29161</vt:lpwstr>
  </property>
  <property fmtid="{D5CDD505-2E9C-101B-9397-08002B2CF9AE}" pid="4" name="ICV">
    <vt:lpwstr>48B158EDBD394E3FB81A108C2F99F264_13</vt:lpwstr>
  </property>
</Properties>
</file>