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192"/>
        <w:gridCol w:w="5790"/>
        <w:gridCol w:w="873"/>
      </w:tblGrid>
      <w:tr w14:paraId="64A4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05386B9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序号</w:t>
            </w:r>
          </w:p>
        </w:tc>
        <w:tc>
          <w:tcPr>
            <w:tcW w:w="1192" w:type="dxa"/>
            <w:vAlign w:val="center"/>
          </w:tcPr>
          <w:p w14:paraId="578BB09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评分因素</w:t>
            </w:r>
          </w:p>
        </w:tc>
        <w:tc>
          <w:tcPr>
            <w:tcW w:w="5790" w:type="dxa"/>
            <w:vAlign w:val="center"/>
          </w:tcPr>
          <w:p w14:paraId="0466E20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评审标准</w:t>
            </w:r>
          </w:p>
        </w:tc>
        <w:tc>
          <w:tcPr>
            <w:tcW w:w="873" w:type="dxa"/>
            <w:vAlign w:val="center"/>
          </w:tcPr>
          <w:p w14:paraId="1718607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分值</w:t>
            </w:r>
          </w:p>
        </w:tc>
      </w:tr>
      <w:tr w14:paraId="5DC6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7D2C19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92" w:type="dxa"/>
            <w:vAlign w:val="center"/>
          </w:tcPr>
          <w:p w14:paraId="7675EB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价格评分</w:t>
            </w:r>
          </w:p>
          <w:p w14:paraId="4D3C90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>分）</w:t>
            </w:r>
          </w:p>
        </w:tc>
        <w:tc>
          <w:tcPr>
            <w:tcW w:w="5790" w:type="dxa"/>
            <w:vAlign w:val="center"/>
          </w:tcPr>
          <w:p w14:paraId="07A021E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（1）投标报价：满足遴选文件要求且投标价格最低的投标报价为评标基准价，其价格分为满分。其他投标人的价格分统一按照下列公式计算：投标报价得分 =（评标基准价 / 投标报价）* 价格权值，小数点保留 2 位。</w:t>
            </w:r>
          </w:p>
        </w:tc>
        <w:tc>
          <w:tcPr>
            <w:tcW w:w="873" w:type="dxa"/>
            <w:vAlign w:val="center"/>
          </w:tcPr>
          <w:p w14:paraId="4A3BD9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10分</w:t>
            </w:r>
          </w:p>
        </w:tc>
      </w:tr>
      <w:tr w14:paraId="4E6E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4BFC47F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</w:t>
            </w:r>
          </w:p>
        </w:tc>
        <w:tc>
          <w:tcPr>
            <w:tcW w:w="1192" w:type="dxa"/>
            <w:vMerge w:val="restart"/>
            <w:vAlign w:val="center"/>
          </w:tcPr>
          <w:p w14:paraId="69446F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技术方案</w:t>
            </w:r>
          </w:p>
          <w:p w14:paraId="5C0E525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ascii="Times New Roman" w:hAnsi="Times New Roman" w:cs="Times New Roman"/>
                <w:szCs w:val="21"/>
              </w:rPr>
              <w:t>分）</w:t>
            </w:r>
          </w:p>
        </w:tc>
        <w:tc>
          <w:tcPr>
            <w:tcW w:w="5790" w:type="dxa"/>
            <w:vAlign w:val="center"/>
          </w:tcPr>
          <w:p w14:paraId="6C440608">
            <w:pPr>
              <w:jc w:val="left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（1）项目需求理解：对本微视频拍摄项目认识准确，对雨花台区 “房前屋后” 民生生态宣传定位理解透彻全面，需求分析描述详细到位，得 20—15 分；对项目有基本认识，内容描述基本清晰，得 15—10 分；对项目有基本认识，描述简单，得 10—5 分；对项目认识不清晰，描述简单、不完整，得 5</w:t>
            </w:r>
            <w:r>
              <w:rPr>
                <w:rFonts w:hint="eastAsia" w:ascii="Times New Roman" w:hAnsi="Times New Roman" w:cs="Times New Roman"/>
                <w:szCs w:val="21"/>
              </w:rPr>
              <w:noBreakHyphen/>
            </w:r>
            <w:r>
              <w:rPr>
                <w:rFonts w:hint="eastAsia" w:ascii="Times New Roman" w:hAnsi="Times New Roman" w:cs="Times New Roman"/>
                <w:szCs w:val="21"/>
              </w:rPr>
              <w:t>0 分；没有不得分。</w:t>
            </w:r>
          </w:p>
        </w:tc>
        <w:tc>
          <w:tcPr>
            <w:tcW w:w="873" w:type="dxa"/>
            <w:vAlign w:val="center"/>
          </w:tcPr>
          <w:p w14:paraId="2A5C97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20分</w:t>
            </w:r>
          </w:p>
        </w:tc>
      </w:tr>
      <w:tr w14:paraId="4C469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31F208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</w:t>
            </w:r>
          </w:p>
        </w:tc>
        <w:tc>
          <w:tcPr>
            <w:tcW w:w="1192" w:type="dxa"/>
            <w:vMerge w:val="continue"/>
            <w:vAlign w:val="center"/>
          </w:tcPr>
          <w:p w14:paraId="628A797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90" w:type="dxa"/>
            <w:vAlign w:val="center"/>
          </w:tcPr>
          <w:p w14:paraId="2FBB28E9">
            <w:pPr>
              <w:jc w:val="left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（2）实施方案（包含脚本策划、拍摄方案、重难点分析及应对措施）：整体拍摄实施方案非常完整，脚本构思贴合本地民生生态主题，拍摄、采访、剪辑、宣发流程清晰，重难点分析及应对措施非常合理、全面的得 20—15 分；实施方案完整，脚本思路合理，各环节应对措施合理、全面的得 15—10 分；实施方案较完整，脚本及保障措施较合理，得 10—5 分；有实施方案，但方案不合理、不贴合项目实际的得 5</w:t>
            </w:r>
            <w:r>
              <w:rPr>
                <w:rFonts w:hint="eastAsia" w:ascii="Times New Roman" w:hAnsi="Times New Roman" w:cs="Times New Roman"/>
                <w:szCs w:val="21"/>
              </w:rPr>
              <w:noBreakHyphen/>
            </w:r>
            <w:r>
              <w:rPr>
                <w:rFonts w:hint="eastAsia" w:ascii="Times New Roman" w:hAnsi="Times New Roman" w:cs="Times New Roman"/>
                <w:szCs w:val="21"/>
              </w:rPr>
              <w:t>0 分；没有不得分。</w:t>
            </w:r>
          </w:p>
        </w:tc>
        <w:tc>
          <w:tcPr>
            <w:tcW w:w="873" w:type="dxa"/>
            <w:vAlign w:val="center"/>
          </w:tcPr>
          <w:p w14:paraId="4F6164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20分</w:t>
            </w:r>
          </w:p>
        </w:tc>
      </w:tr>
      <w:tr w14:paraId="39FEE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3193B6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</w:t>
            </w:r>
          </w:p>
        </w:tc>
        <w:tc>
          <w:tcPr>
            <w:tcW w:w="1192" w:type="dxa"/>
            <w:vMerge w:val="continue"/>
            <w:vAlign w:val="center"/>
          </w:tcPr>
          <w:p w14:paraId="3CA2414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90" w:type="dxa"/>
            <w:vAlign w:val="center"/>
          </w:tcPr>
          <w:p w14:paraId="10037063">
            <w:pPr>
              <w:tabs>
                <w:tab w:val="left" w:pos="312"/>
              </w:tabs>
              <w:jc w:val="left"/>
              <w:rPr>
                <w:rFonts w:ascii="Times New Roman" w:hAnsi="Times New Roman" w:eastAsia="宋体" w:cs="Times New Roman"/>
                <w:spacing w:val="-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Cs w:val="21"/>
              </w:rPr>
              <w:t>（3）服务质量保证措施：针对本项目制定细化的内容质量、拍摄制作质量保证措施和项目进度保障措施，措施具体明确，条理性强，得 20—15 分；内部质量控制管理措施、进度安排措施方案较完善、较合理，得 15—10 分；有质量控制措施，但落地实施存在较大困难的得 10</w:t>
            </w:r>
            <w:r>
              <w:rPr>
                <w:rFonts w:hint="eastAsia" w:ascii="Times New Roman" w:hAnsi="Times New Roman" w:eastAsia="宋体" w:cs="Times New Roman"/>
                <w:spacing w:val="-1"/>
                <w:szCs w:val="21"/>
              </w:rPr>
              <w:noBreakHyphen/>
            </w:r>
            <w:r>
              <w:rPr>
                <w:rFonts w:hint="eastAsia" w:ascii="Times New Roman" w:hAnsi="Times New Roman" w:eastAsia="宋体" w:cs="Times New Roman"/>
                <w:spacing w:val="-1"/>
                <w:szCs w:val="21"/>
              </w:rPr>
              <w:t>0 分；没有不得分。</w:t>
            </w:r>
          </w:p>
        </w:tc>
        <w:tc>
          <w:tcPr>
            <w:tcW w:w="873" w:type="dxa"/>
            <w:vAlign w:val="center"/>
          </w:tcPr>
          <w:p w14:paraId="38752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>分</w:t>
            </w:r>
          </w:p>
        </w:tc>
      </w:tr>
      <w:tr w14:paraId="260B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7B34AEF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3.1</w:t>
            </w:r>
          </w:p>
        </w:tc>
        <w:tc>
          <w:tcPr>
            <w:tcW w:w="1192" w:type="dxa"/>
            <w:vMerge w:val="restart"/>
            <w:vAlign w:val="center"/>
          </w:tcPr>
          <w:p w14:paraId="7B04BB7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综合</w:t>
            </w:r>
            <w:r>
              <w:rPr>
                <w:rFonts w:ascii="Times New Roman" w:hAnsi="Times New Roman" w:cs="Times New Roman"/>
                <w:szCs w:val="21"/>
              </w:rPr>
              <w:t>实力</w:t>
            </w:r>
          </w:p>
          <w:p w14:paraId="2F2A26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（30分）</w:t>
            </w:r>
          </w:p>
        </w:tc>
        <w:tc>
          <w:tcPr>
            <w:tcW w:w="5790" w:type="dxa"/>
            <w:vAlign w:val="center"/>
          </w:tcPr>
          <w:p w14:paraId="66C3FD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（1）投标人工作业绩：近 5 年以来投标人承担过类似政务宣传、生态环保主题视频、短视频拍摄制作项目，每有 1 个得 2 分，满分 10 分。</w:t>
            </w:r>
          </w:p>
        </w:tc>
        <w:tc>
          <w:tcPr>
            <w:tcW w:w="873" w:type="dxa"/>
            <w:vAlign w:val="center"/>
          </w:tcPr>
          <w:p w14:paraId="7833E8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10分</w:t>
            </w:r>
          </w:p>
        </w:tc>
      </w:tr>
      <w:tr w14:paraId="723A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2EE1D98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1192" w:type="dxa"/>
            <w:vMerge w:val="continue"/>
            <w:vAlign w:val="center"/>
          </w:tcPr>
          <w:p w14:paraId="2961CDE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90" w:type="dxa"/>
            <w:vAlign w:val="center"/>
          </w:tcPr>
          <w:p w14:paraId="0E963848">
            <w:pPr>
              <w:numPr>
                <w:numId w:val="0"/>
              </w:numPr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(2)具备新媒体宣发思路，有可行的推广方案，能够助力环保视频扩散传播，明确传播渠道与推广形式，得10分；有宣发想法，但方案比较笼统，落地细节不足，得6-9分；仅有简单宣发概念，缺少可执行举措，得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1‑5 分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；没有不得分。</w:t>
            </w:r>
          </w:p>
        </w:tc>
        <w:tc>
          <w:tcPr>
            <w:tcW w:w="873" w:type="dxa"/>
            <w:vAlign w:val="center"/>
          </w:tcPr>
          <w:p w14:paraId="2E545BB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>分</w:t>
            </w:r>
          </w:p>
        </w:tc>
      </w:tr>
      <w:tr w14:paraId="25CB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Align w:val="center"/>
          </w:tcPr>
          <w:p w14:paraId="716333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3.3</w:t>
            </w:r>
          </w:p>
        </w:tc>
        <w:tc>
          <w:tcPr>
            <w:tcW w:w="1192" w:type="dxa"/>
            <w:vMerge w:val="continue"/>
            <w:vAlign w:val="center"/>
          </w:tcPr>
          <w:p w14:paraId="05AD1BD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90" w:type="dxa"/>
            <w:vAlign w:val="center"/>
          </w:tcPr>
          <w:p w14:paraId="73536271">
            <w:pPr>
              <w:numPr>
                <w:numId w:val="0"/>
              </w:numPr>
              <w:jc w:val="left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eastAsia="zh-CN"/>
              </w:rPr>
              <w:t>（</w:t>
            </w:r>
            <w:r>
              <w:rPr>
                <w:rFonts w:hint="eastAsia" w:cs="Times New Roman"/>
                <w:szCs w:val="21"/>
                <w:lang w:val="en-US" w:eastAsia="zh-CN"/>
              </w:rPr>
              <w:t>3</w:t>
            </w:r>
            <w:r>
              <w:rPr>
                <w:rFonts w:hint="eastAsia" w:cs="Times New Roman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cs="Times New Roman"/>
                <w:szCs w:val="21"/>
              </w:rPr>
              <w:t>评委根据供应商对本项目提供的设备专业性进行评分，设备配置全面、专业，能有效保障项目实施得</w:t>
            </w: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0分；设备配置较为全面、较为专业，较能保障项目实施得5分；设置配置一般，保障项目实施一般得</w:t>
            </w:r>
            <w:r>
              <w:rPr>
                <w:rFonts w:hint="eastAsia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分；没有不得分。</w:t>
            </w:r>
          </w:p>
        </w:tc>
        <w:tc>
          <w:tcPr>
            <w:tcW w:w="873" w:type="dxa"/>
            <w:vAlign w:val="center"/>
          </w:tcPr>
          <w:p w14:paraId="035C5D7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>分</w:t>
            </w:r>
          </w:p>
        </w:tc>
      </w:tr>
      <w:tr w14:paraId="3185D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9" w:type="dxa"/>
            <w:gridSpan w:val="3"/>
            <w:vAlign w:val="center"/>
          </w:tcPr>
          <w:p w14:paraId="7B12659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0BCFFE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总分</w:t>
            </w:r>
          </w:p>
          <w:p w14:paraId="2EBAEBE4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53F868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100分</w:t>
            </w:r>
          </w:p>
        </w:tc>
      </w:tr>
    </w:tbl>
    <w:p w14:paraId="72B938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749"/>
    <w:rsid w:val="000549D1"/>
    <w:rsid w:val="000A667C"/>
    <w:rsid w:val="000D1628"/>
    <w:rsid w:val="0060115F"/>
    <w:rsid w:val="0066226B"/>
    <w:rsid w:val="00752102"/>
    <w:rsid w:val="00772749"/>
    <w:rsid w:val="007F32D5"/>
    <w:rsid w:val="00A36524"/>
    <w:rsid w:val="00BB5810"/>
    <w:rsid w:val="00ED5509"/>
    <w:rsid w:val="00F40DD1"/>
    <w:rsid w:val="00FF5CED"/>
    <w:rsid w:val="0BAA5135"/>
    <w:rsid w:val="113F7936"/>
    <w:rsid w:val="1E2E4331"/>
    <w:rsid w:val="2BD30AF4"/>
    <w:rsid w:val="36F77EB7"/>
    <w:rsid w:val="4F344B2D"/>
    <w:rsid w:val="508311F9"/>
    <w:rsid w:val="6B342C98"/>
    <w:rsid w:val="700B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9"/>
    <w:qFormat/>
    <w:uiPriority w:val="0"/>
    <w:pPr>
      <w:spacing w:after="120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rFonts w:ascii="楷体_GB2312" w:eastAsia="楷体_GB2312"/>
      <w:sz w:val="32"/>
    </w:rPr>
  </w:style>
  <w:style w:type="paragraph" w:styleId="4">
    <w:name w:val="Body Text First Indent"/>
    <w:basedOn w:val="2"/>
    <w:qFormat/>
    <w:uiPriority w:val="0"/>
    <w:pPr>
      <w:tabs>
        <w:tab w:val="left" w:pos="2020"/>
        <w:tab w:val="center" w:pos="4535"/>
      </w:tabs>
      <w:ind w:firstLine="420" w:firstLineChars="100"/>
    </w:pPr>
  </w:style>
  <w:style w:type="paragraph" w:styleId="5">
    <w:name w:val="Body Text First Indent 2"/>
    <w:basedOn w:val="3"/>
    <w:qFormat/>
    <w:uiPriority w:val="99"/>
    <w:pPr>
      <w:spacing w:after="0" w:line="360" w:lineRule="auto"/>
      <w:ind w:left="0" w:leftChars="0" w:firstLine="420" w:firstLineChars="200"/>
    </w:pPr>
    <w:rPr>
      <w:rFonts w:ascii="宋体" w:hAnsi="宋体" w:eastAsia="宋体"/>
      <w:kern w:val="0"/>
      <w:sz w:val="20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Char"/>
    <w:basedOn w:val="8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b78fa73-2ee0-4f9e-a8ad-c71844e9ff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810</Words>
  <Characters>856</Characters>
  <Lines>2</Lines>
  <Paragraphs>1</Paragraphs>
  <TotalTime>8</TotalTime>
  <ScaleCrop>false</ScaleCrop>
  <LinksUpToDate>false</LinksUpToDate>
  <CharactersWithSpaces>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2025-06-06T02:04:00Z</dcterms:created>
  <dc:creator>911624</dc:creator>
  <cp:lastModifiedBy>Mollie</cp:lastModifiedBy>
  <dcterms:modified xsi:type="dcterms:W3CDTF">2026-10-09T03:12:51Z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eyJoZGlkIjoiYTBlYzJmZmM0MjczYmE4NjIwMjE1YTBmYWMwOGJmNmEiLCJ1c2VySWQiOiIzNDM2NDc5MDAifQ==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C79173C5F04143E3B1118E903751BCB0_13</vt:lpwstr>
  </property>
</Properties>
</file>