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75E0C">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eastAsia" w:eastAsia="黑体" w:cs="Times New Roman"/>
          <w:sz w:val="32"/>
          <w:szCs w:val="32"/>
          <w:lang w:val="en-US" w:eastAsia="zh-CN"/>
        </w:rPr>
        <w:t>南京市雨花台区学生用品</w:t>
      </w:r>
      <w:r>
        <w:rPr>
          <w:rFonts w:hint="default" w:ascii="Times New Roman" w:hAnsi="Times New Roman" w:eastAsia="黑体" w:cs="Times New Roman"/>
          <w:sz w:val="32"/>
          <w:szCs w:val="32"/>
          <w:lang w:eastAsia="zh-CN"/>
        </w:rPr>
        <w:t>产品质量监督抽查实施细则</w:t>
      </w:r>
    </w:p>
    <w:p w14:paraId="0ECF1244">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16BFE3ED">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rPr>
      </w:pPr>
    </w:p>
    <w:p w14:paraId="3A1D91E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1.范围</w:t>
      </w:r>
    </w:p>
    <w:p w14:paraId="4A4B572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本细</w:t>
      </w:r>
      <w:r>
        <w:rPr>
          <w:rFonts w:hint="default" w:ascii="Times New Roman" w:hAnsi="Times New Roman" w:eastAsia="方正仿宋_GBK" w:cs="Times New Roman"/>
          <w:sz w:val="28"/>
          <w:szCs w:val="28"/>
          <w:lang w:val="en-US" w:eastAsia="zh-CN"/>
        </w:rPr>
        <w:t>则</w:t>
      </w:r>
      <w:r>
        <w:rPr>
          <w:rFonts w:hint="eastAsia" w:ascii="Times New Roman" w:hAnsi="Times New Roman" w:eastAsia="方正仿宋_GBK" w:cs="Times New Roman"/>
          <w:sz w:val="28"/>
          <w:szCs w:val="28"/>
          <w:lang w:val="en-US" w:eastAsia="zh-CN"/>
        </w:rPr>
        <w:t>适用于南京市雨花台区学生用品产品质量</w:t>
      </w:r>
      <w:r>
        <w:rPr>
          <w:rFonts w:hint="default" w:ascii="Times New Roman" w:hAnsi="Times New Roman" w:eastAsia="方正仿宋_GBK" w:cs="Times New Roman"/>
          <w:sz w:val="28"/>
          <w:szCs w:val="28"/>
          <w:lang w:val="en-US" w:eastAsia="zh-CN"/>
        </w:rPr>
        <w:t>监督抽查</w:t>
      </w:r>
      <w:r>
        <w:rPr>
          <w:rFonts w:hint="default" w:ascii="Times New Roman" w:hAnsi="Times New Roman" w:eastAsia="方正仿宋_GBK" w:cs="Times New Roman"/>
          <w:sz w:val="28"/>
          <w:szCs w:val="28"/>
        </w:rPr>
        <w:t>检验。本细则规定了此产品的抽样方法、检验依据、检验项目、检验方法、判定</w:t>
      </w:r>
      <w:r>
        <w:rPr>
          <w:rFonts w:hint="default" w:ascii="Times New Roman" w:hAnsi="Times New Roman" w:eastAsia="方正仿宋_GBK" w:cs="Times New Roman"/>
          <w:sz w:val="28"/>
          <w:szCs w:val="28"/>
          <w:lang w:eastAsia="zh-CN"/>
        </w:rPr>
        <w:t>规</w:t>
      </w:r>
      <w:r>
        <w:rPr>
          <w:rFonts w:hint="default" w:ascii="Times New Roman" w:hAnsi="Times New Roman" w:eastAsia="方正仿宋_GBK" w:cs="Times New Roman"/>
          <w:sz w:val="28"/>
          <w:szCs w:val="28"/>
        </w:rPr>
        <w:t>则。</w:t>
      </w:r>
    </w:p>
    <w:p w14:paraId="499BAE6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2.抽样方法</w:t>
      </w:r>
    </w:p>
    <w:p w14:paraId="772812A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b/>
          <w:bCs/>
          <w:sz w:val="28"/>
          <w:szCs w:val="28"/>
          <w:lang w:val="en-US" w:eastAsia="zh-CN"/>
        </w:rPr>
      </w:pPr>
      <w:r>
        <w:rPr>
          <w:rFonts w:hint="default" w:ascii="Times New Roman" w:hAnsi="Times New Roman" w:eastAsia="方正仿宋_GBK" w:cs="Times New Roman"/>
          <w:b/>
          <w:bCs/>
          <w:sz w:val="28"/>
          <w:szCs w:val="28"/>
          <w:lang w:val="en-US" w:eastAsia="zh-CN"/>
        </w:rPr>
        <w:t>2.1生产企业、实体店抽样</w:t>
      </w:r>
    </w:p>
    <w:p w14:paraId="73D7397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lang w:val="en-US" w:eastAsia="zh-CN"/>
        </w:rPr>
      </w:pPr>
      <w:r>
        <w:rPr>
          <w:rFonts w:hint="default" w:ascii="Times New Roman" w:hAnsi="Times New Roman" w:eastAsia="方正仿宋_GBK" w:cs="Times New Roman"/>
          <w:sz w:val="28"/>
          <w:szCs w:val="28"/>
        </w:rPr>
        <w:t>以随机抽样的方式在被抽样生产者、销售者的待销产品中抽取。随机数一般可使用随机数表等方法产生。</w:t>
      </w:r>
      <w:r>
        <w:rPr>
          <w:rFonts w:hint="eastAsia" w:eastAsia="方正仿宋_GBK" w:cs="Times New Roman"/>
          <w:sz w:val="28"/>
          <w:szCs w:val="28"/>
          <w:lang w:val="en-US" w:eastAsia="zh-CN"/>
        </w:rPr>
        <w:t>每批次产品抽样数量如下：</w:t>
      </w:r>
    </w:p>
    <w:p w14:paraId="4BB5480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rPr>
      </w:pPr>
      <w:r>
        <w:rPr>
          <w:rFonts w:hint="eastAsia" w:eastAsia="方正仿宋_GBK" w:cs="Times New Roman"/>
          <w:sz w:val="28"/>
          <w:szCs w:val="28"/>
          <w:lang w:val="en-US" w:eastAsia="zh-CN"/>
        </w:rPr>
        <w:t>课业簿册抽样数量为20本，其中10本为检验样品，10本为备用样品；书写笔抽样数量为24支，其中12支为检验样品，12支为备用样品；涂改制品产品</w:t>
      </w:r>
      <w:r>
        <w:rPr>
          <w:rFonts w:hint="default" w:eastAsia="方正仿宋_GBK" w:cs="Times New Roman"/>
          <w:sz w:val="28"/>
          <w:szCs w:val="28"/>
          <w:lang w:val="en-US" w:eastAsia="zh-CN"/>
        </w:rPr>
        <w:t>抽样数量为180m</w:t>
      </w:r>
      <w:r>
        <w:rPr>
          <w:rFonts w:hint="eastAsia" w:eastAsia="方正仿宋_GBK" w:cs="Times New Roman"/>
          <w:sz w:val="28"/>
          <w:szCs w:val="28"/>
          <w:lang w:val="en-US" w:eastAsia="zh-CN"/>
        </w:rPr>
        <w:t>，</w:t>
      </w:r>
      <w:r>
        <w:rPr>
          <w:rFonts w:hint="default" w:eastAsia="方正仿宋_GBK" w:cs="Times New Roman"/>
          <w:sz w:val="28"/>
          <w:szCs w:val="28"/>
          <w:lang w:val="en-US" w:eastAsia="zh-CN"/>
        </w:rPr>
        <w:t>其中100m为检验样品，80m</w:t>
      </w:r>
      <w:r>
        <w:rPr>
          <w:rFonts w:hint="default" w:ascii="Times New Roman" w:hAnsi="Times New Roman" w:eastAsia="方正仿宋_GBK" w:cs="Times New Roman"/>
          <w:sz w:val="28"/>
          <w:szCs w:val="28"/>
        </w:rPr>
        <w:t>为备用样品。</w:t>
      </w:r>
    </w:p>
    <w:p w14:paraId="4163A1F0">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检验依据</w:t>
      </w:r>
      <w:bookmarkStart w:id="0" w:name="_GoBack"/>
      <w:bookmarkEnd w:id="0"/>
    </w:p>
    <w:p w14:paraId="7AEE4B0F">
      <w:pPr>
        <w:ind w:firstLine="0" w:firstLineChars="0"/>
        <w:jc w:val="center"/>
        <w:rPr>
          <w:rFonts w:hint="eastAsia" w:ascii="Times New Roman" w:hAnsi="Times New Roman" w:eastAsia="方正仿宋_GBK" w:cs="Times New Roman"/>
          <w:b w:val="0"/>
          <w:bCs w:val="0"/>
          <w:sz w:val="28"/>
          <w:szCs w:val="28"/>
          <w:highlight w:val="none"/>
          <w:lang w:val="en-US" w:eastAsia="zh-CN"/>
        </w:rPr>
      </w:pPr>
      <w:r>
        <w:rPr>
          <w:rFonts w:hint="eastAsia" w:eastAsia="方正仿宋_GBK" w:cs="Times New Roman"/>
          <w:b w:val="0"/>
          <w:bCs w:val="0"/>
          <w:sz w:val="28"/>
          <w:szCs w:val="28"/>
          <w:highlight w:val="none"/>
          <w:lang w:val="en-US" w:eastAsia="zh-CN"/>
        </w:rPr>
        <w:t xml:space="preserve">表1 </w:t>
      </w:r>
      <w:r>
        <w:rPr>
          <w:rFonts w:hint="eastAsia" w:ascii="Times New Roman" w:hAnsi="Times New Roman" w:eastAsia="方正仿宋_GBK" w:cs="Times New Roman"/>
          <w:b w:val="0"/>
          <w:bCs w:val="0"/>
          <w:sz w:val="28"/>
          <w:szCs w:val="28"/>
          <w:highlight w:val="none"/>
          <w:lang w:val="en-US" w:eastAsia="zh-CN"/>
        </w:rPr>
        <w:t>课业簿册产品（QB/T 1437-2023）</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3181"/>
        <w:gridCol w:w="4831"/>
      </w:tblGrid>
      <w:tr w14:paraId="32F4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049" w:type="dxa"/>
            <w:noWrap w:val="0"/>
            <w:vAlign w:val="center"/>
          </w:tcPr>
          <w:p w14:paraId="43FFE78C">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序号</w:t>
            </w:r>
          </w:p>
        </w:tc>
        <w:tc>
          <w:tcPr>
            <w:tcW w:w="3181" w:type="dxa"/>
            <w:noWrap w:val="0"/>
            <w:vAlign w:val="center"/>
          </w:tcPr>
          <w:p w14:paraId="79DBAC66">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color w:val="auto"/>
                <w:sz w:val="28"/>
                <w:szCs w:val="28"/>
                <w:highlight w:val="none"/>
                <w:lang w:val="en-US" w:eastAsia="zh-CN"/>
              </w:rPr>
              <w:t>检验项目</w:t>
            </w:r>
          </w:p>
        </w:tc>
        <w:tc>
          <w:tcPr>
            <w:tcW w:w="4831" w:type="dxa"/>
            <w:noWrap w:val="0"/>
            <w:vAlign w:val="center"/>
          </w:tcPr>
          <w:p w14:paraId="02CB4FA1">
            <w:pPr>
              <w:ind w:firstLine="0" w:firstLineChars="0"/>
              <w:jc w:val="center"/>
              <w:rPr>
                <w:rFonts w:hint="default" w:ascii="Times New Roman" w:hAnsi="Times New Roman" w:eastAsia="方正仿宋_GBK" w:cs="Times New Roman"/>
                <w:b/>
                <w:bCs/>
                <w:color w:val="auto"/>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检验</w:t>
            </w:r>
            <w:r>
              <w:rPr>
                <w:rFonts w:hint="default" w:ascii="Times New Roman" w:hAnsi="Times New Roman" w:eastAsia="方正仿宋_GBK" w:cs="Times New Roman"/>
                <w:b/>
                <w:bCs/>
                <w:sz w:val="28"/>
                <w:szCs w:val="28"/>
                <w:highlight w:val="none"/>
              </w:rPr>
              <w:t>方法</w:t>
            </w:r>
          </w:p>
        </w:tc>
      </w:tr>
      <w:tr w14:paraId="18A97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6EA306F5">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1</w:t>
            </w:r>
          </w:p>
        </w:tc>
        <w:tc>
          <w:tcPr>
            <w:tcW w:w="3181" w:type="dxa"/>
            <w:noWrap w:val="0"/>
            <w:vAlign w:val="center"/>
          </w:tcPr>
          <w:p w14:paraId="697CC17D">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可迁移元素的限量</w:t>
            </w:r>
          </w:p>
        </w:tc>
        <w:tc>
          <w:tcPr>
            <w:tcW w:w="4831" w:type="dxa"/>
            <w:noWrap w:val="0"/>
            <w:vAlign w:val="center"/>
          </w:tcPr>
          <w:p w14:paraId="2377572B">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 6675.4-2014</w:t>
            </w:r>
          </w:p>
        </w:tc>
      </w:tr>
      <w:tr w14:paraId="2DA61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3F574CB5">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2</w:t>
            </w:r>
          </w:p>
        </w:tc>
        <w:tc>
          <w:tcPr>
            <w:tcW w:w="3181" w:type="dxa"/>
            <w:noWrap w:val="0"/>
            <w:vAlign w:val="center"/>
          </w:tcPr>
          <w:p w14:paraId="2BB310FD">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内芯 D65 亮度</w:t>
            </w:r>
          </w:p>
        </w:tc>
        <w:tc>
          <w:tcPr>
            <w:tcW w:w="4831" w:type="dxa"/>
            <w:shd w:val="clear" w:color="auto" w:fill="auto"/>
            <w:noWrap w:val="0"/>
            <w:vAlign w:val="center"/>
          </w:tcPr>
          <w:p w14:paraId="30DAE8A2">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GB/T 7974-2013</w:t>
            </w:r>
          </w:p>
        </w:tc>
      </w:tr>
      <w:tr w14:paraId="5D8A8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39A561F3">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3</w:t>
            </w:r>
          </w:p>
        </w:tc>
        <w:tc>
          <w:tcPr>
            <w:tcW w:w="3181" w:type="dxa"/>
            <w:noWrap w:val="0"/>
            <w:vAlign w:val="center"/>
          </w:tcPr>
          <w:p w14:paraId="6F643E71">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内芯 D65 荧光亮度</w:t>
            </w:r>
          </w:p>
        </w:tc>
        <w:tc>
          <w:tcPr>
            <w:tcW w:w="4831" w:type="dxa"/>
            <w:shd w:val="clear" w:color="auto" w:fill="auto"/>
            <w:noWrap w:val="0"/>
            <w:vAlign w:val="center"/>
          </w:tcPr>
          <w:p w14:paraId="001C1745">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GB/T 7974-2013</w:t>
            </w:r>
          </w:p>
        </w:tc>
      </w:tr>
      <w:tr w14:paraId="519A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27A77366">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4</w:t>
            </w:r>
          </w:p>
        </w:tc>
        <w:tc>
          <w:tcPr>
            <w:tcW w:w="3181" w:type="dxa"/>
            <w:noWrap w:val="0"/>
            <w:vAlign w:val="center"/>
          </w:tcPr>
          <w:p w14:paraId="31432AED">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default" w:ascii="Times New Roman" w:hAnsi="Times New Roman" w:eastAsia="方正仿宋_GBK" w:cs="Times New Roman"/>
                <w:b w:val="0"/>
                <w:bCs w:val="0"/>
                <w:sz w:val="28"/>
                <w:szCs w:val="28"/>
                <w:highlight w:val="none"/>
                <w:lang w:val="en-US" w:eastAsia="zh-CN"/>
              </w:rPr>
              <w:t>安全</w:t>
            </w:r>
          </w:p>
        </w:tc>
        <w:tc>
          <w:tcPr>
            <w:tcW w:w="4831" w:type="dxa"/>
            <w:noWrap w:val="0"/>
            <w:vAlign w:val="center"/>
          </w:tcPr>
          <w:p w14:paraId="4602CAF9">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QB/T 1437-2023</w:t>
            </w:r>
          </w:p>
        </w:tc>
      </w:tr>
    </w:tbl>
    <w:p w14:paraId="58318743">
      <w:pPr>
        <w:ind w:firstLine="0" w:firstLineChars="0"/>
        <w:jc w:val="center"/>
        <w:rPr>
          <w:rFonts w:hint="default" w:ascii="Times New Roman" w:hAnsi="Times New Roman" w:eastAsia="方正仿宋_GBK" w:cs="Times New Roman"/>
          <w:b/>
          <w:bCs/>
          <w:sz w:val="28"/>
          <w:szCs w:val="28"/>
          <w:highlight w:val="none"/>
          <w:lang w:val="en-US" w:eastAsia="zh-CN"/>
        </w:rPr>
      </w:pPr>
    </w:p>
    <w:p w14:paraId="590B3D58">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eastAsia" w:eastAsia="方正仿宋_GBK" w:cs="Times New Roman"/>
          <w:b w:val="0"/>
          <w:bCs w:val="0"/>
          <w:sz w:val="28"/>
          <w:szCs w:val="28"/>
          <w:highlight w:val="none"/>
          <w:lang w:val="en-US" w:eastAsia="zh-CN"/>
        </w:rPr>
        <w:t xml:space="preserve">表2 </w:t>
      </w:r>
      <w:r>
        <w:rPr>
          <w:rFonts w:hint="eastAsia" w:ascii="Times New Roman" w:hAnsi="Times New Roman" w:eastAsia="方正仿宋_GBK" w:cs="Times New Roman"/>
          <w:b w:val="0"/>
          <w:bCs w:val="0"/>
          <w:sz w:val="28"/>
          <w:szCs w:val="28"/>
          <w:highlight w:val="none"/>
          <w:lang w:val="en-US" w:eastAsia="zh-CN"/>
        </w:rPr>
        <w:t>书写笔产品</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3181"/>
        <w:gridCol w:w="4831"/>
      </w:tblGrid>
      <w:tr w14:paraId="445F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049" w:type="dxa"/>
            <w:noWrap w:val="0"/>
            <w:vAlign w:val="center"/>
          </w:tcPr>
          <w:p w14:paraId="29DAB68B">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序号</w:t>
            </w:r>
          </w:p>
        </w:tc>
        <w:tc>
          <w:tcPr>
            <w:tcW w:w="3181" w:type="dxa"/>
            <w:noWrap w:val="0"/>
            <w:vAlign w:val="center"/>
          </w:tcPr>
          <w:p w14:paraId="74BB7791">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检验项目</w:t>
            </w:r>
          </w:p>
        </w:tc>
        <w:tc>
          <w:tcPr>
            <w:tcW w:w="4831" w:type="dxa"/>
            <w:noWrap w:val="0"/>
            <w:vAlign w:val="center"/>
          </w:tcPr>
          <w:p w14:paraId="7463AA87">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检验方法</w:t>
            </w:r>
          </w:p>
        </w:tc>
      </w:tr>
      <w:tr w14:paraId="0106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6F55A00D">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1</w:t>
            </w:r>
          </w:p>
        </w:tc>
        <w:tc>
          <w:tcPr>
            <w:tcW w:w="3181" w:type="dxa"/>
            <w:noWrap w:val="0"/>
            <w:vAlign w:val="center"/>
          </w:tcPr>
          <w:p w14:paraId="1F349E57">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可迁移元素的限量</w:t>
            </w:r>
          </w:p>
        </w:tc>
        <w:tc>
          <w:tcPr>
            <w:tcW w:w="4831" w:type="dxa"/>
            <w:noWrap w:val="0"/>
            <w:vAlign w:val="center"/>
          </w:tcPr>
          <w:p w14:paraId="479D98DB">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 6675.4-2014</w:t>
            </w:r>
          </w:p>
        </w:tc>
      </w:tr>
      <w:tr w14:paraId="6F5A6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0A5F22C7">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2</w:t>
            </w:r>
          </w:p>
        </w:tc>
        <w:tc>
          <w:tcPr>
            <w:tcW w:w="3181" w:type="dxa"/>
            <w:noWrap w:val="0"/>
            <w:vAlign w:val="center"/>
          </w:tcPr>
          <w:p w14:paraId="78337B05">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可触及的塑料件中邻苯二甲酸酯增塑剂的限量</w:t>
            </w:r>
          </w:p>
        </w:tc>
        <w:tc>
          <w:tcPr>
            <w:tcW w:w="4831" w:type="dxa"/>
            <w:shd w:val="clear" w:color="auto" w:fill="auto"/>
            <w:noWrap w:val="0"/>
            <w:vAlign w:val="center"/>
          </w:tcPr>
          <w:p w14:paraId="478CFDF8">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GB/T 22048-2022</w:t>
            </w:r>
          </w:p>
        </w:tc>
      </w:tr>
      <w:tr w14:paraId="64EC3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7BC43E64">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3</w:t>
            </w:r>
          </w:p>
        </w:tc>
        <w:tc>
          <w:tcPr>
            <w:tcW w:w="3181" w:type="dxa"/>
            <w:noWrap w:val="0"/>
            <w:vAlign w:val="center"/>
          </w:tcPr>
          <w:p w14:paraId="7A9468D3">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笔套安全</w:t>
            </w:r>
          </w:p>
        </w:tc>
        <w:tc>
          <w:tcPr>
            <w:tcW w:w="4831" w:type="dxa"/>
            <w:shd w:val="clear" w:color="auto" w:fill="auto"/>
            <w:noWrap w:val="0"/>
            <w:vAlign w:val="center"/>
          </w:tcPr>
          <w:p w14:paraId="4D52B0F9">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 21027-2020</w:t>
            </w:r>
          </w:p>
        </w:tc>
      </w:tr>
    </w:tbl>
    <w:p w14:paraId="6AD714B2">
      <w:pPr>
        <w:ind w:firstLine="0" w:firstLineChars="0"/>
        <w:jc w:val="center"/>
        <w:rPr>
          <w:rFonts w:hint="default" w:ascii="Times New Roman" w:hAnsi="Times New Roman" w:eastAsia="方正仿宋_GBK" w:cs="Times New Roman"/>
          <w:b w:val="0"/>
          <w:bCs w:val="0"/>
          <w:sz w:val="28"/>
          <w:szCs w:val="28"/>
          <w:highlight w:val="none"/>
          <w:lang w:val="en-US" w:eastAsia="zh-CN"/>
        </w:rPr>
      </w:pPr>
      <w:r>
        <w:rPr>
          <w:rFonts w:hint="eastAsia" w:eastAsia="方正仿宋_GBK" w:cs="Times New Roman"/>
          <w:b w:val="0"/>
          <w:bCs w:val="0"/>
          <w:sz w:val="28"/>
          <w:szCs w:val="28"/>
          <w:highlight w:val="none"/>
          <w:lang w:val="en-US" w:eastAsia="zh-CN"/>
        </w:rPr>
        <w:t xml:space="preserve">表3 </w:t>
      </w:r>
      <w:r>
        <w:rPr>
          <w:rFonts w:hint="eastAsia" w:ascii="Times New Roman" w:hAnsi="Times New Roman" w:eastAsia="方正仿宋_GBK" w:cs="Times New Roman"/>
          <w:b w:val="0"/>
          <w:bCs w:val="0"/>
          <w:sz w:val="28"/>
          <w:szCs w:val="28"/>
          <w:highlight w:val="none"/>
          <w:lang w:val="en-US" w:eastAsia="zh-CN"/>
        </w:rPr>
        <w:t>涂改制品产品</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3181"/>
        <w:gridCol w:w="4831"/>
      </w:tblGrid>
      <w:tr w14:paraId="0E8B1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049" w:type="dxa"/>
            <w:noWrap w:val="0"/>
            <w:vAlign w:val="center"/>
          </w:tcPr>
          <w:p w14:paraId="4A212F18">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序号</w:t>
            </w:r>
          </w:p>
        </w:tc>
        <w:tc>
          <w:tcPr>
            <w:tcW w:w="3181" w:type="dxa"/>
            <w:noWrap w:val="0"/>
            <w:vAlign w:val="center"/>
          </w:tcPr>
          <w:p w14:paraId="6056ADAA">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检验项目</w:t>
            </w:r>
          </w:p>
        </w:tc>
        <w:tc>
          <w:tcPr>
            <w:tcW w:w="4831" w:type="dxa"/>
            <w:noWrap w:val="0"/>
            <w:vAlign w:val="center"/>
          </w:tcPr>
          <w:p w14:paraId="2DA5C883">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检验方法</w:t>
            </w:r>
          </w:p>
        </w:tc>
      </w:tr>
      <w:tr w14:paraId="33645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4B6D62AF">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1</w:t>
            </w:r>
          </w:p>
        </w:tc>
        <w:tc>
          <w:tcPr>
            <w:tcW w:w="3181" w:type="dxa"/>
            <w:noWrap w:val="0"/>
            <w:vAlign w:val="center"/>
          </w:tcPr>
          <w:p w14:paraId="1ED6B2CD">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可迁移元素的限量</w:t>
            </w:r>
          </w:p>
        </w:tc>
        <w:tc>
          <w:tcPr>
            <w:tcW w:w="4831" w:type="dxa"/>
            <w:noWrap w:val="0"/>
            <w:vAlign w:val="center"/>
          </w:tcPr>
          <w:p w14:paraId="769590E8">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 6675.4-2014</w:t>
            </w:r>
          </w:p>
        </w:tc>
      </w:tr>
      <w:tr w14:paraId="5527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shd w:val="clear" w:color="auto" w:fill="auto"/>
            <w:noWrap w:val="0"/>
            <w:vAlign w:val="center"/>
          </w:tcPr>
          <w:p w14:paraId="36FFF77B">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2</w:t>
            </w:r>
          </w:p>
        </w:tc>
        <w:tc>
          <w:tcPr>
            <w:tcW w:w="3181" w:type="dxa"/>
            <w:noWrap w:val="0"/>
            <w:vAlign w:val="center"/>
          </w:tcPr>
          <w:p w14:paraId="17B277AD">
            <w:pPr>
              <w:ind w:firstLine="0" w:firstLineChars="0"/>
              <w:jc w:val="left"/>
              <w:rPr>
                <w:rFonts w:hint="eastAsia"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苯的含量</w:t>
            </w:r>
          </w:p>
        </w:tc>
        <w:tc>
          <w:tcPr>
            <w:tcW w:w="4831" w:type="dxa"/>
            <w:shd w:val="clear" w:color="auto" w:fill="auto"/>
            <w:noWrap w:val="0"/>
            <w:vAlign w:val="center"/>
          </w:tcPr>
          <w:p w14:paraId="2CA2C945">
            <w:pPr>
              <w:ind w:firstLine="0" w:firstLineChars="0"/>
              <w:jc w:val="left"/>
              <w:rPr>
                <w:rFonts w:hint="eastAsia"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 21027-2020</w:t>
            </w:r>
          </w:p>
        </w:tc>
      </w:tr>
      <w:tr w14:paraId="57E6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shd w:val="clear" w:color="auto" w:fill="auto"/>
            <w:noWrap w:val="0"/>
            <w:vAlign w:val="center"/>
          </w:tcPr>
          <w:p w14:paraId="3ADBE4F2">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default" w:ascii="Times New Roman" w:hAnsi="Times New Roman" w:eastAsia="方正仿宋_GBK" w:cs="Times New Roman"/>
                <w:b/>
                <w:bCs/>
                <w:sz w:val="28"/>
                <w:szCs w:val="28"/>
                <w:highlight w:val="none"/>
                <w:lang w:val="en-US" w:eastAsia="zh-CN"/>
              </w:rPr>
              <w:t>3</w:t>
            </w:r>
          </w:p>
        </w:tc>
        <w:tc>
          <w:tcPr>
            <w:tcW w:w="3181" w:type="dxa"/>
            <w:noWrap w:val="0"/>
            <w:vAlign w:val="center"/>
          </w:tcPr>
          <w:p w14:paraId="40549E1C">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可触及的塑料件中邻苯二甲酸酯增塑剂的限量</w:t>
            </w:r>
          </w:p>
        </w:tc>
        <w:tc>
          <w:tcPr>
            <w:tcW w:w="4831" w:type="dxa"/>
            <w:shd w:val="clear" w:color="auto" w:fill="auto"/>
            <w:noWrap w:val="0"/>
            <w:vAlign w:val="center"/>
          </w:tcPr>
          <w:p w14:paraId="704BE761">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GB/T 22048-2022</w:t>
            </w:r>
          </w:p>
        </w:tc>
      </w:tr>
      <w:tr w14:paraId="63799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9" w:type="dxa"/>
            <w:noWrap w:val="0"/>
            <w:vAlign w:val="center"/>
          </w:tcPr>
          <w:p w14:paraId="76A90E0F">
            <w:pPr>
              <w:ind w:firstLine="0" w:firstLineChars="0"/>
              <w:jc w:val="center"/>
              <w:rPr>
                <w:rFonts w:hint="default" w:ascii="Times New Roman" w:hAnsi="Times New Roman" w:eastAsia="方正仿宋_GBK" w:cs="Times New Roman"/>
                <w:b/>
                <w:bCs/>
                <w:sz w:val="28"/>
                <w:szCs w:val="28"/>
                <w:highlight w:val="none"/>
                <w:lang w:val="en-US" w:eastAsia="zh-CN"/>
              </w:rPr>
            </w:pPr>
            <w:r>
              <w:rPr>
                <w:rFonts w:hint="eastAsia" w:ascii="Times New Roman" w:hAnsi="Times New Roman" w:eastAsia="方正仿宋_GBK" w:cs="Times New Roman"/>
                <w:b/>
                <w:bCs/>
                <w:sz w:val="28"/>
                <w:szCs w:val="28"/>
                <w:highlight w:val="none"/>
                <w:lang w:val="en-US" w:eastAsia="zh-CN"/>
              </w:rPr>
              <w:t>4</w:t>
            </w:r>
          </w:p>
        </w:tc>
        <w:tc>
          <w:tcPr>
            <w:tcW w:w="3181" w:type="dxa"/>
            <w:noWrap w:val="0"/>
            <w:vAlign w:val="center"/>
          </w:tcPr>
          <w:p w14:paraId="38186C64">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笔套安全</w:t>
            </w:r>
          </w:p>
        </w:tc>
        <w:tc>
          <w:tcPr>
            <w:tcW w:w="4831" w:type="dxa"/>
            <w:shd w:val="clear" w:color="auto" w:fill="auto"/>
            <w:noWrap w:val="0"/>
            <w:vAlign w:val="center"/>
          </w:tcPr>
          <w:p w14:paraId="3F988A2C">
            <w:pPr>
              <w:ind w:firstLine="0" w:firstLineChars="0"/>
              <w:jc w:val="left"/>
              <w:rPr>
                <w:rFonts w:hint="default" w:ascii="Times New Roman" w:hAnsi="Times New Roman" w:eastAsia="方正仿宋_GBK" w:cs="Times New Roman"/>
                <w:b w:val="0"/>
                <w:bCs w:val="0"/>
                <w:sz w:val="28"/>
                <w:szCs w:val="28"/>
                <w:highlight w:val="none"/>
                <w:lang w:val="en-US" w:eastAsia="zh-CN"/>
              </w:rPr>
            </w:pPr>
            <w:r>
              <w:rPr>
                <w:rFonts w:hint="eastAsia" w:ascii="Times New Roman" w:hAnsi="Times New Roman" w:eastAsia="方正仿宋_GBK" w:cs="Times New Roman"/>
                <w:b w:val="0"/>
                <w:bCs w:val="0"/>
                <w:sz w:val="28"/>
                <w:szCs w:val="28"/>
                <w:highlight w:val="none"/>
                <w:lang w:val="en-US" w:eastAsia="zh-CN"/>
              </w:rPr>
              <w:t>GB 21027-2020</w:t>
            </w:r>
          </w:p>
        </w:tc>
      </w:tr>
    </w:tbl>
    <w:p w14:paraId="523F9B5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黑体_GBK" w:cs="Times New Roman"/>
          <w:kern w:val="0"/>
          <w:sz w:val="28"/>
          <w:szCs w:val="28"/>
          <w:shd w:val="clear" w:color="auto" w:fill="FFFFFF"/>
          <w:lang w:bidi="ar"/>
        </w:rPr>
        <w:t>4.判定规则</w:t>
      </w:r>
    </w:p>
    <w:p w14:paraId="61B7750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4.1依据标准</w:t>
      </w:r>
    </w:p>
    <w:p w14:paraId="5709FD0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eastAsia" w:eastAsia="方正仿宋_GBK" w:cs="Times New Roman"/>
          <w:sz w:val="28"/>
          <w:szCs w:val="28"/>
          <w:lang w:val="en-US" w:eastAsia="zh-CN"/>
        </w:rPr>
        <w:t>QB/T 1437-2023</w:t>
      </w:r>
      <w:r>
        <w:rPr>
          <w:rFonts w:hint="default" w:ascii="Times New Roman" w:hAnsi="Times New Roman" w:eastAsia="方正仿宋_GBK" w:cs="Times New Roman"/>
          <w:sz w:val="28"/>
          <w:szCs w:val="28"/>
        </w:rPr>
        <w:t xml:space="preserve"> 课业簿册</w:t>
      </w:r>
    </w:p>
    <w:p w14:paraId="41B8E27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eastAsia" w:eastAsia="方正仿宋_GBK" w:cs="Times New Roman"/>
          <w:sz w:val="28"/>
          <w:szCs w:val="28"/>
          <w:lang w:val="en-US" w:eastAsia="zh-CN"/>
        </w:rPr>
        <w:t>GB 21027-2020</w:t>
      </w:r>
      <w:r>
        <w:rPr>
          <w:rFonts w:hint="default" w:ascii="Times New Roman" w:hAnsi="Times New Roman" w:eastAsia="方正仿宋_GBK" w:cs="Times New Roman"/>
          <w:sz w:val="28"/>
          <w:szCs w:val="28"/>
        </w:rPr>
        <w:t xml:space="preserve"> 学生用品的安全通用要求</w:t>
      </w:r>
    </w:p>
    <w:p w14:paraId="2F0B7AA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cs="Times New Roman"/>
        </w:rPr>
      </w:pPr>
      <w:r>
        <w:rPr>
          <w:rFonts w:hint="default" w:ascii="Times New Roman" w:hAnsi="Times New Roman" w:eastAsia="方正仿宋_GBK" w:cs="Times New Roman"/>
          <w:sz w:val="28"/>
          <w:szCs w:val="28"/>
        </w:rPr>
        <w:t>现行有效的企业标准、团体标准、地方标准及产品明示质量要求</w:t>
      </w:r>
    </w:p>
    <w:p w14:paraId="2E5B192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黑体_GBK" w:cs="Times New Roman"/>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4.2判定原则</w:t>
      </w:r>
    </w:p>
    <w:p w14:paraId="75E9BB7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经检验，检验项目全部合格，判定为被抽查产品所检项目未发现不合格；检验项目中任一项或一项以上不合格，判定为被抽查产品不合格。</w:t>
      </w:r>
    </w:p>
    <w:p w14:paraId="07076C5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若被检产品明示的质量要求高于本细则中检验项目依据的标准要求时，应按被检产品明示的质量要求判定。</w:t>
      </w:r>
    </w:p>
    <w:p w14:paraId="58CB5A1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若被检产品明示的质量要求低于本细则中检验项目依据的强制性标准要求时，应按照强制性标准要求判定。</w:t>
      </w:r>
    </w:p>
    <w:p w14:paraId="1AAD2E9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若被检产品明示的质量要求低于或包含本细则中检验项目依据的推荐性标准要求时，应以被检产品明示的质量要求判定。</w:t>
      </w:r>
    </w:p>
    <w:p w14:paraId="19D8BAF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若被检产品明示的质量要求缺少本细则中检验项目依据的强制性标准要求时，应按照强制性标准要求判定。</w:t>
      </w:r>
    </w:p>
    <w:p w14:paraId="4B394A9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t>若被检产品明示的质量要求缺少本细则中检验项目依据的推荐性标准要求时，该项目不参与判定。</w:t>
      </w:r>
    </w:p>
    <w:p w14:paraId="7997D10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default" w:ascii="Times New Roman" w:hAnsi="Times New Roman" w:eastAsia="方正仿宋_GBK" w:cs="Times New Roman"/>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2242EE-C2A8-4461-9F40-C07F6CA48B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panose1 w:val="02000000000000000000"/>
    <w:charset w:val="86"/>
    <w:family w:val="auto"/>
    <w:pitch w:val="default"/>
    <w:sig w:usb0="A00002BF" w:usb1="38CF7CFA" w:usb2="00082016" w:usb3="00000000" w:csb0="00040001" w:csb1="00000000"/>
    <w:embedRegular r:id="rId2" w:fontKey="{8973E4A2-A39A-48C5-AD0A-D6F065A9EAB9}"/>
  </w:font>
  <w:font w:name="方正仿宋_GBK">
    <w:panose1 w:val="02000000000000000000"/>
    <w:charset w:val="86"/>
    <w:family w:val="auto"/>
    <w:pitch w:val="default"/>
    <w:sig w:usb0="A00002BF" w:usb1="38CF7CFA" w:usb2="00082016" w:usb3="00000000" w:csb0="00040001" w:csb1="00000000"/>
    <w:embedRegular r:id="rId3" w:fontKey="{3A32D753-73D6-4502-828C-45194949EF6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TrueTypeFonts/>
  <w:saveSubset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080608C6"/>
    <w:rsid w:val="247E6D63"/>
    <w:rsid w:val="248B6CCC"/>
    <w:rsid w:val="25470D5C"/>
    <w:rsid w:val="2D401748"/>
    <w:rsid w:val="322E2266"/>
    <w:rsid w:val="358C0256"/>
    <w:rsid w:val="3FD30DCD"/>
    <w:rsid w:val="40C24D4F"/>
    <w:rsid w:val="465D0827"/>
    <w:rsid w:val="48082673"/>
    <w:rsid w:val="4830235B"/>
    <w:rsid w:val="5BC2263F"/>
    <w:rsid w:val="661F044E"/>
    <w:rsid w:val="70913C30"/>
    <w:rsid w:val="734F0FD1"/>
    <w:rsid w:val="77EF515C"/>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widowControl/>
      <w:spacing w:beforeAutospacing="1" w:afterAutospacing="1"/>
      <w:jc w:val="left"/>
      <w:outlineLvl w:val="0"/>
    </w:pPr>
    <w:rPr>
      <w:rFonts w:ascii="宋体" w:hAnsi="宋体" w:eastAsia="宋体"/>
      <w:b/>
      <w:kern w:val="44"/>
      <w:sz w:val="48"/>
      <w:szCs w:val="48"/>
      <w:lang w:eastAsia="zh-CN"/>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787</Words>
  <Characters>969</Characters>
  <Lines>0</Lines>
  <Paragraphs>0</Paragraphs>
  <TotalTime>19</TotalTime>
  <ScaleCrop>false</ScaleCrop>
  <LinksUpToDate>false</LinksUpToDate>
  <CharactersWithSpaces>992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啾啾</cp:lastModifiedBy>
  <dcterms:modified xsi:type="dcterms:W3CDTF">2026-08-27T08:28:34Z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eyJoZGlkIjoiNzQ2MTBiNWFhNzA1Y2FjZWI0MWEzN2UyMWExZDU1NjkiLCJ1c2VySWQiOiI0MjY5NjEyMDMifQ==</vt:lpwstr>
  </property>
  <property fmtid="{D5CDD505-2E9C-101B-9397-08002B2CF9AE}" pid="4" name="ICV">
    <vt:lpwstr>181784F5F35546C5964B8175D931035E_13</vt:lpwstr>
  </property>
</Properties>
</file>