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F1244">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eastAsia" w:eastAsia="黑体" w:cs="Times New Roman"/>
          <w:sz w:val="32"/>
          <w:szCs w:val="32"/>
          <w:lang w:val="en-US" w:eastAsia="zh-CN"/>
        </w:rPr>
        <w:t>南京市雨花台区家用和类似用途固定式电气装置的开关</w:t>
      </w:r>
      <w:r>
        <w:rPr>
          <w:rFonts w:hint="default" w:ascii="Times New Roman" w:hAnsi="Times New Roman" w:eastAsia="黑体" w:cs="Times New Roman"/>
          <w:sz w:val="32"/>
          <w:szCs w:val="32"/>
          <w:lang w:eastAsia="zh-CN"/>
        </w:rPr>
        <w:t>产品质量监督抽查实施细则（</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16BFE3ED">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rPr>
      </w:pPr>
    </w:p>
    <w:p w14:paraId="3A1D91E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1.范围</w:t>
      </w:r>
    </w:p>
    <w:p w14:paraId="4A4B572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本细则适用于</w:t>
      </w:r>
      <w:r>
        <w:rPr>
          <w:rFonts w:hint="eastAsia" w:ascii="Times New Roman" w:hAnsi="Times New Roman" w:eastAsia="方正仿宋_GBK" w:cs="Times New Roman"/>
          <w:sz w:val="28"/>
          <w:szCs w:val="28"/>
          <w:lang w:val="en-US" w:eastAsia="zh-CN"/>
        </w:rPr>
        <w:t>南京市雨花台区家用和类似用途固定式电气装置的开关</w:t>
      </w:r>
      <w:r>
        <w:rPr>
          <w:rFonts w:hint="default" w:ascii="Times New Roman" w:hAnsi="Times New Roman" w:eastAsia="方正仿宋_GBK" w:cs="Times New Roman"/>
          <w:sz w:val="28"/>
          <w:szCs w:val="28"/>
        </w:rPr>
        <w:t>产品质量监督抽查检验。本细则规定了此产品的抽样方法、检验依据、检验项目、检验方法、判定</w:t>
      </w:r>
      <w:r>
        <w:rPr>
          <w:rFonts w:hint="default" w:ascii="Times New Roman" w:hAnsi="Times New Roman" w:eastAsia="方正仿宋_GBK" w:cs="Times New Roman"/>
          <w:sz w:val="28"/>
          <w:szCs w:val="28"/>
          <w:lang w:eastAsia="zh-CN"/>
        </w:rPr>
        <w:t>规</w:t>
      </w:r>
      <w:r>
        <w:rPr>
          <w:rFonts w:hint="default" w:ascii="Times New Roman" w:hAnsi="Times New Roman" w:eastAsia="方正仿宋_GBK" w:cs="Times New Roman"/>
          <w:sz w:val="28"/>
          <w:szCs w:val="28"/>
        </w:rPr>
        <w:t>则。</w:t>
      </w:r>
    </w:p>
    <w:p w14:paraId="499BAE6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2.抽样方法</w:t>
      </w:r>
    </w:p>
    <w:p w14:paraId="772812A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b/>
          <w:bCs/>
          <w:sz w:val="28"/>
          <w:szCs w:val="28"/>
          <w:lang w:val="en-US" w:eastAsia="zh-CN"/>
        </w:rPr>
      </w:pPr>
      <w:r>
        <w:rPr>
          <w:rFonts w:hint="default" w:ascii="Times New Roman" w:hAnsi="Times New Roman" w:eastAsia="方正仿宋_GBK" w:cs="Times New Roman"/>
          <w:b/>
          <w:bCs/>
          <w:sz w:val="28"/>
          <w:szCs w:val="28"/>
          <w:lang w:val="en-US" w:eastAsia="zh-CN"/>
        </w:rPr>
        <w:t>2.1生产企业、实体店抽样</w:t>
      </w:r>
    </w:p>
    <w:p w14:paraId="42DC429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以随机抽样的方式在被抽样生产者、销售者的待销产品中抽取。随机数一般可使用随机数表等方法产生。每批次产品抽取样品</w:t>
      </w:r>
      <w:r>
        <w:rPr>
          <w:rFonts w:hint="eastAsia" w:eastAsia="方正仿宋_GBK" w:cs="Times New Roman"/>
          <w:sz w:val="28"/>
          <w:szCs w:val="28"/>
          <w:lang w:val="en-US" w:eastAsia="zh-CN"/>
        </w:rPr>
        <w:t>6只</w:t>
      </w:r>
      <w:r>
        <w:rPr>
          <w:rFonts w:hint="default" w:ascii="Times New Roman" w:hAnsi="Times New Roman" w:eastAsia="方正仿宋_GBK" w:cs="Times New Roman"/>
          <w:sz w:val="28"/>
          <w:szCs w:val="28"/>
        </w:rPr>
        <w:t>，其中</w:t>
      </w:r>
      <w:r>
        <w:rPr>
          <w:rFonts w:hint="eastAsia" w:eastAsia="方正仿宋_GBK" w:cs="Times New Roman"/>
          <w:sz w:val="28"/>
          <w:szCs w:val="28"/>
          <w:lang w:val="en-US" w:eastAsia="zh-CN"/>
        </w:rPr>
        <w:t>3只</w:t>
      </w:r>
      <w:r>
        <w:rPr>
          <w:rFonts w:hint="default" w:ascii="Times New Roman" w:hAnsi="Times New Roman" w:eastAsia="方正仿宋_GBK" w:cs="Times New Roman"/>
          <w:sz w:val="28"/>
          <w:szCs w:val="28"/>
        </w:rPr>
        <w:t>为检验样品，</w:t>
      </w:r>
      <w:r>
        <w:rPr>
          <w:rFonts w:hint="eastAsia" w:eastAsia="方正仿宋_GBK" w:cs="Times New Roman"/>
          <w:sz w:val="28"/>
          <w:szCs w:val="28"/>
          <w:lang w:val="en-US" w:eastAsia="zh-CN"/>
        </w:rPr>
        <w:t>3只</w:t>
      </w:r>
      <w:r>
        <w:rPr>
          <w:rFonts w:hint="default" w:ascii="Times New Roman" w:hAnsi="Times New Roman" w:eastAsia="方正仿宋_GBK" w:cs="Times New Roman"/>
          <w:sz w:val="28"/>
          <w:szCs w:val="28"/>
        </w:rPr>
        <w:t>为备用样品。</w:t>
      </w:r>
    </w:p>
    <w:p w14:paraId="4163A1F0">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检验依据</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3181"/>
        <w:gridCol w:w="4831"/>
      </w:tblGrid>
      <w:tr w14:paraId="32F4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049" w:type="dxa"/>
            <w:noWrap w:val="0"/>
            <w:vAlign w:val="center"/>
          </w:tcPr>
          <w:p w14:paraId="43FFE78C">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序号</w:t>
            </w:r>
          </w:p>
        </w:tc>
        <w:tc>
          <w:tcPr>
            <w:tcW w:w="3181" w:type="dxa"/>
            <w:noWrap w:val="0"/>
            <w:vAlign w:val="center"/>
          </w:tcPr>
          <w:p w14:paraId="79DBAC66">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检验项目</w:t>
            </w:r>
          </w:p>
        </w:tc>
        <w:tc>
          <w:tcPr>
            <w:tcW w:w="4831" w:type="dxa"/>
            <w:noWrap w:val="0"/>
            <w:vAlign w:val="center"/>
          </w:tcPr>
          <w:p w14:paraId="02CB4FA1">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default" w:ascii="Times New Roman" w:hAnsi="Times New Roman" w:eastAsia="方正仿宋_GBK" w:cs="Times New Roman"/>
                <w:b/>
                <w:bCs/>
                <w:sz w:val="28"/>
                <w:szCs w:val="28"/>
                <w:highlight w:val="none"/>
                <w:lang w:val="en-US" w:eastAsia="zh-CN"/>
              </w:rPr>
              <w:t>检验</w:t>
            </w:r>
            <w:r>
              <w:rPr>
                <w:rFonts w:hint="default" w:ascii="Times New Roman" w:hAnsi="Times New Roman" w:eastAsia="方正仿宋_GBK" w:cs="Times New Roman"/>
                <w:b/>
                <w:bCs/>
                <w:sz w:val="28"/>
                <w:szCs w:val="28"/>
                <w:highlight w:val="none"/>
              </w:rPr>
              <w:t>方法</w:t>
            </w:r>
          </w:p>
        </w:tc>
      </w:tr>
      <w:tr w14:paraId="18A97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6EA306F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1</w:t>
            </w:r>
          </w:p>
        </w:tc>
        <w:tc>
          <w:tcPr>
            <w:tcW w:w="3181" w:type="dxa"/>
            <w:noWrap w:val="0"/>
            <w:vAlign w:val="center"/>
          </w:tcPr>
          <w:p w14:paraId="697CC17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防触电保护</w:t>
            </w:r>
          </w:p>
        </w:tc>
        <w:tc>
          <w:tcPr>
            <w:tcW w:w="4831" w:type="dxa"/>
            <w:noWrap w:val="0"/>
            <w:vAlign w:val="center"/>
          </w:tcPr>
          <w:p w14:paraId="2377572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GB/T 16915.1-2024</w:t>
            </w:r>
          </w:p>
        </w:tc>
      </w:tr>
      <w:tr w14:paraId="2DA61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3F574CB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2</w:t>
            </w:r>
          </w:p>
        </w:tc>
        <w:tc>
          <w:tcPr>
            <w:tcW w:w="3181" w:type="dxa"/>
            <w:noWrap w:val="0"/>
            <w:vAlign w:val="center"/>
          </w:tcPr>
          <w:p w14:paraId="2BB310F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结构要求</w:t>
            </w:r>
          </w:p>
        </w:tc>
        <w:tc>
          <w:tcPr>
            <w:tcW w:w="4831" w:type="dxa"/>
            <w:noWrap w:val="0"/>
            <w:vAlign w:val="center"/>
          </w:tcPr>
          <w:p w14:paraId="30DAE8A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GB/T 16915.1-2024</w:t>
            </w:r>
          </w:p>
        </w:tc>
      </w:tr>
      <w:tr w14:paraId="5D8A8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39A561F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3</w:t>
            </w:r>
          </w:p>
        </w:tc>
        <w:tc>
          <w:tcPr>
            <w:tcW w:w="3181" w:type="dxa"/>
            <w:noWrap w:val="0"/>
            <w:vAlign w:val="center"/>
          </w:tcPr>
          <w:p w14:paraId="6F643E7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耐热</w:t>
            </w:r>
          </w:p>
        </w:tc>
        <w:tc>
          <w:tcPr>
            <w:tcW w:w="4831" w:type="dxa"/>
            <w:noWrap w:val="0"/>
            <w:vAlign w:val="center"/>
          </w:tcPr>
          <w:p w14:paraId="001C174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GB/T 16915.1-2024</w:t>
            </w:r>
          </w:p>
        </w:tc>
      </w:tr>
      <w:tr w14:paraId="519A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27A7736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4</w:t>
            </w:r>
          </w:p>
        </w:tc>
        <w:tc>
          <w:tcPr>
            <w:tcW w:w="3181" w:type="dxa"/>
            <w:noWrap w:val="0"/>
            <w:vAlign w:val="center"/>
          </w:tcPr>
          <w:p w14:paraId="31432AE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绝缘材料的耐非正常热</w:t>
            </w:r>
          </w:p>
        </w:tc>
        <w:tc>
          <w:tcPr>
            <w:tcW w:w="4831" w:type="dxa"/>
            <w:noWrap w:val="0"/>
            <w:vAlign w:val="center"/>
          </w:tcPr>
          <w:p w14:paraId="4602CAF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GB/T 16915.1-2024</w:t>
            </w:r>
          </w:p>
        </w:tc>
      </w:tr>
      <w:tr w14:paraId="2B49C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653002A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5</w:t>
            </w:r>
          </w:p>
        </w:tc>
        <w:tc>
          <w:tcPr>
            <w:tcW w:w="3181" w:type="dxa"/>
            <w:vAlign w:val="center"/>
          </w:tcPr>
          <w:p w14:paraId="5D77D59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耐燃和耐电痕化</w:t>
            </w:r>
          </w:p>
        </w:tc>
        <w:tc>
          <w:tcPr>
            <w:tcW w:w="4831" w:type="dxa"/>
            <w:vAlign w:val="center"/>
          </w:tcPr>
          <w:p w14:paraId="7CB78B9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GB/T 16915.1-2024</w:t>
            </w:r>
          </w:p>
        </w:tc>
      </w:tr>
    </w:tbl>
    <w:p w14:paraId="523F9B5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4.判定规则</w:t>
      </w:r>
    </w:p>
    <w:p w14:paraId="61B7750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4.1依据标准</w:t>
      </w:r>
    </w:p>
    <w:p w14:paraId="5709FD0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GB/T 16915.1-2024 家用和类似用途固定式电气装置的开关 第1部分：通用要求</w:t>
      </w:r>
    </w:p>
    <w:p w14:paraId="2F0B7AA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cs="Times New Roman"/>
        </w:rPr>
      </w:pPr>
      <w:r>
        <w:rPr>
          <w:rFonts w:hint="default" w:ascii="Times New Roman" w:hAnsi="Times New Roman" w:eastAsia="方正仿宋_GBK" w:cs="Times New Roman"/>
          <w:sz w:val="28"/>
          <w:szCs w:val="28"/>
        </w:rPr>
        <w:t>现行有效的企业标准、团</w:t>
      </w:r>
      <w:bookmarkStart w:id="0" w:name="_GoBack"/>
      <w:bookmarkEnd w:id="0"/>
      <w:r>
        <w:rPr>
          <w:rFonts w:hint="default" w:ascii="Times New Roman" w:hAnsi="Times New Roman" w:eastAsia="方正仿宋_GBK" w:cs="Times New Roman"/>
          <w:sz w:val="28"/>
          <w:szCs w:val="28"/>
        </w:rPr>
        <w:t>体标准、地方标准及产品明示质量要求</w:t>
      </w:r>
    </w:p>
    <w:p w14:paraId="2E5B192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4.2判定原则</w:t>
      </w:r>
    </w:p>
    <w:p w14:paraId="75E9BB7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经检验，检验项目全部合格，判定为被抽查产品所检项目未发现不合格；检验项目中任一项或一项以上不合格，判定为被抽查产品不合格。</w:t>
      </w:r>
    </w:p>
    <w:p w14:paraId="07076C5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若被检产品明示的质量要求高于本细则中检验项目依据的标准要求时，应按被检产品明示的质量要求判定。</w:t>
      </w:r>
    </w:p>
    <w:p w14:paraId="58CB5A1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若被检产品明示的质量要求低于本细则中检验项目依据的强制性标准要求时，应按照强制性标准要求判定。</w:t>
      </w:r>
    </w:p>
    <w:p w14:paraId="1AAD2E9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若被检产品明示的质量要求低于或包含本细则中检验项目依据的推荐性标准要求时，应以被检产品明示的质量要求判定。</w:t>
      </w:r>
    </w:p>
    <w:p w14:paraId="19D8BAF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若被检产品明示的质量要求缺少本细则中检验项目依据的强制性标准要求时，应按照强制性标准要求判定。</w:t>
      </w:r>
    </w:p>
    <w:p w14:paraId="4B394A9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若被检产品明示的质量要求缺少本细则中检验项目依据的推荐性标准要求时，该项目不参与判定。</w:t>
      </w:r>
    </w:p>
    <w:p w14:paraId="2C08C1A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080977-5F95-46BB-AA9E-BB752F601F9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panose1 w:val="02000000000000000000"/>
    <w:charset w:val="86"/>
    <w:family w:val="auto"/>
    <w:pitch w:val="default"/>
    <w:sig w:usb0="A00002BF" w:usb1="38CF7CFA" w:usb2="00082016" w:usb3="00000000" w:csb0="00040001" w:csb1="00000000"/>
    <w:embedRegular r:id="rId2" w:fontKey="{71644690-71CA-4900-8578-64DE9F87C4CA}"/>
  </w:font>
  <w:font w:name="方正仿宋_GBK">
    <w:panose1 w:val="02000000000000000000"/>
    <w:charset w:val="86"/>
    <w:family w:val="auto"/>
    <w:pitch w:val="default"/>
    <w:sig w:usb0="A00002BF" w:usb1="38CF7CFA" w:usb2="00082016" w:usb3="00000000" w:csb0="00040001" w:csb1="00000000"/>
    <w:embedRegular r:id="rId3" w:fontKey="{C2240758-4F2A-437F-A537-512544C2776F}"/>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B4AB0A6B">
    <w:panose1 w:val="020B0704020202020204"/>
    <w:charset w:val="00"/>
    <w:family w:val="auto"/>
    <w:pitch w:val="default"/>
    <w:sig w:usb0="00000001"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247E6D63"/>
    <w:rsid w:val="25470D5C"/>
    <w:rsid w:val="358C0256"/>
    <w:rsid w:val="3FD30DCD"/>
    <w:rsid w:val="4830235B"/>
    <w:rsid w:val="56E16E48"/>
    <w:rsid w:val="5BC2263F"/>
    <w:rsid w:val="661F044E"/>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761</Words>
  <Characters>962</Characters>
  <Lines>0</Lines>
  <Paragraphs>0</Paragraphs>
  <TotalTime>31</TotalTime>
  <ScaleCrop>false</ScaleCrop>
  <LinksUpToDate>false</LinksUpToDate>
  <CharactersWithSpaces>982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某了个少</cp:lastModifiedBy>
  <dcterms:modified xsi:type="dcterms:W3CDTF">2026-08-24T03:00:40Z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eyJoZGlkIjoiOTM5YTQ4OGNlMDk1MDkxYWE0MjE0MmE1ZTNlMzljYzgiLCJ1c2VySWQiOiI4NjIxNDUwNDgifQ==</vt:lpwstr>
  </property>
  <property fmtid="{D5CDD505-2E9C-101B-9397-08002B2CF9AE}" pid="4" name="ICV">
    <vt:lpwstr>6C6F339E03F84A6D96BEA806F2E47649_13</vt:lpwstr>
  </property>
</Properties>
</file>