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75E0C">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eastAsia" w:eastAsia="黑体" w:cs="Times New Roman"/>
          <w:sz w:val="32"/>
          <w:szCs w:val="32"/>
          <w:lang w:val="en-US" w:eastAsia="zh-CN"/>
        </w:rPr>
        <w:t>南京市雨花台区</w:t>
      </w:r>
      <w:r>
        <w:rPr>
          <w:rFonts w:hint="default" w:ascii="Times New Roman" w:hAnsi="Times New Roman" w:eastAsia="黑体" w:cs="Times New Roman"/>
          <w:sz w:val="32"/>
          <w:szCs w:val="32"/>
          <w:lang w:eastAsia="zh-CN"/>
        </w:rPr>
        <w:t>电动自行车</w:t>
      </w:r>
      <w:r>
        <w:rPr>
          <w:rFonts w:hint="eastAsia" w:eastAsia="黑体" w:cs="Times New Roman"/>
          <w:sz w:val="32"/>
          <w:szCs w:val="32"/>
          <w:lang w:val="en-US" w:eastAsia="zh-CN"/>
        </w:rPr>
        <w:t>充电器</w:t>
      </w:r>
      <w:r>
        <w:rPr>
          <w:rFonts w:hint="default" w:ascii="Times New Roman" w:hAnsi="Times New Roman" w:eastAsia="黑体" w:cs="Times New Roman"/>
          <w:sz w:val="32"/>
          <w:szCs w:val="32"/>
          <w:lang w:eastAsia="zh-CN"/>
        </w:rPr>
        <w:t>产品质量监督抽查实施细则</w:t>
      </w:r>
    </w:p>
    <w:p w14:paraId="0ECF1244">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16BFE3ED">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rPr>
      </w:pPr>
    </w:p>
    <w:p w14:paraId="3A1D91E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1.范围</w:t>
      </w:r>
    </w:p>
    <w:p w14:paraId="4A4B572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本细则适用于</w:t>
      </w:r>
      <w:r>
        <w:rPr>
          <w:rFonts w:hint="eastAsia" w:eastAsia="方正仿宋_GBK" w:cs="Times New Roman"/>
          <w:sz w:val="28"/>
          <w:szCs w:val="28"/>
          <w:lang w:val="en-US" w:eastAsia="zh-CN"/>
        </w:rPr>
        <w:t>南京市雨花台区</w:t>
      </w:r>
      <w:r>
        <w:rPr>
          <w:rFonts w:hint="default" w:ascii="Times New Roman" w:hAnsi="Times New Roman" w:eastAsia="方正仿宋_GBK" w:cs="Times New Roman"/>
          <w:sz w:val="28"/>
          <w:szCs w:val="28"/>
          <w:lang w:val="en-US" w:eastAsia="zh-CN"/>
        </w:rPr>
        <w:t>电动自行车</w:t>
      </w:r>
      <w:r>
        <w:rPr>
          <w:rFonts w:hint="eastAsia" w:eastAsia="方正仿宋_GBK" w:cs="Times New Roman"/>
          <w:sz w:val="28"/>
          <w:szCs w:val="28"/>
          <w:lang w:val="en-US" w:eastAsia="zh-CN"/>
        </w:rPr>
        <w:t>充电器</w:t>
      </w:r>
      <w:r>
        <w:rPr>
          <w:rFonts w:hint="default" w:ascii="Times New Roman" w:hAnsi="Times New Roman" w:eastAsia="方正仿宋_GBK" w:cs="Times New Roman"/>
          <w:sz w:val="28"/>
          <w:szCs w:val="28"/>
        </w:rPr>
        <w:t>产品质量监督抽查检验。本细则规定了此产品的抽样方法、检验依据、检验项目、检验方法、判定</w:t>
      </w:r>
      <w:r>
        <w:rPr>
          <w:rFonts w:hint="default" w:ascii="Times New Roman" w:hAnsi="Times New Roman" w:eastAsia="方正仿宋_GBK" w:cs="Times New Roman"/>
          <w:sz w:val="28"/>
          <w:szCs w:val="28"/>
          <w:lang w:eastAsia="zh-CN"/>
        </w:rPr>
        <w:t>规</w:t>
      </w:r>
      <w:r>
        <w:rPr>
          <w:rFonts w:hint="default" w:ascii="Times New Roman" w:hAnsi="Times New Roman" w:eastAsia="方正仿宋_GBK" w:cs="Times New Roman"/>
          <w:sz w:val="28"/>
          <w:szCs w:val="28"/>
        </w:rPr>
        <w:t>则。</w:t>
      </w:r>
    </w:p>
    <w:p w14:paraId="499BAE6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2.抽样方法</w:t>
      </w:r>
    </w:p>
    <w:p w14:paraId="772812A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b/>
          <w:bCs/>
          <w:sz w:val="28"/>
          <w:szCs w:val="28"/>
          <w:lang w:val="en-US" w:eastAsia="zh-CN"/>
        </w:rPr>
      </w:pPr>
      <w:r>
        <w:rPr>
          <w:rFonts w:hint="default" w:ascii="Times New Roman" w:hAnsi="Times New Roman" w:eastAsia="方正仿宋_GBK" w:cs="Times New Roman"/>
          <w:b/>
          <w:bCs/>
          <w:sz w:val="28"/>
          <w:szCs w:val="28"/>
          <w:lang w:val="en-US" w:eastAsia="zh-CN"/>
        </w:rPr>
        <w:t>2.1生产企业、实体店抽样</w:t>
      </w:r>
    </w:p>
    <w:p w14:paraId="1E67C3E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cs="Times New Roman"/>
        </w:rPr>
      </w:pPr>
      <w:r>
        <w:rPr>
          <w:rFonts w:hint="default" w:ascii="Times New Roman" w:hAnsi="Times New Roman" w:eastAsia="方正仿宋_GBK" w:cs="Times New Roman"/>
          <w:sz w:val="28"/>
          <w:szCs w:val="28"/>
        </w:rPr>
        <w:t>以随机抽样的方式在被抽样生产者、销售者的待销产品中抽取。随机数一般可使用随机数表等方法产生。每批次产品抽取样品</w:t>
      </w:r>
      <w:r>
        <w:rPr>
          <w:rFonts w:hint="eastAsia" w:eastAsia="方正仿宋_GBK" w:cs="Times New Roman"/>
          <w:sz w:val="28"/>
          <w:szCs w:val="28"/>
          <w:lang w:val="en-US" w:eastAsia="zh-CN"/>
        </w:rPr>
        <w:t>3只</w:t>
      </w:r>
      <w:r>
        <w:rPr>
          <w:rFonts w:hint="default" w:ascii="Times New Roman" w:hAnsi="Times New Roman" w:eastAsia="方正仿宋_GBK" w:cs="Times New Roman"/>
          <w:sz w:val="28"/>
          <w:szCs w:val="28"/>
        </w:rPr>
        <w:t>，其中</w:t>
      </w:r>
      <w:r>
        <w:rPr>
          <w:rFonts w:hint="eastAsia" w:eastAsia="方正仿宋_GBK" w:cs="Times New Roman"/>
          <w:sz w:val="28"/>
          <w:szCs w:val="28"/>
          <w:lang w:val="en-US" w:eastAsia="zh-CN"/>
        </w:rPr>
        <w:t>2只</w:t>
      </w:r>
      <w:r>
        <w:rPr>
          <w:rFonts w:hint="default" w:ascii="Times New Roman" w:hAnsi="Times New Roman" w:eastAsia="方正仿宋_GBK" w:cs="Times New Roman"/>
          <w:sz w:val="28"/>
          <w:szCs w:val="28"/>
        </w:rPr>
        <w:t>为检验样品，1</w:t>
      </w:r>
      <w:r>
        <w:rPr>
          <w:rFonts w:hint="eastAsia" w:eastAsia="方正仿宋_GBK" w:cs="Times New Roman"/>
          <w:sz w:val="28"/>
          <w:szCs w:val="28"/>
          <w:lang w:val="en-US" w:eastAsia="zh-CN"/>
        </w:rPr>
        <w:t>只</w:t>
      </w:r>
      <w:r>
        <w:rPr>
          <w:rFonts w:hint="default" w:ascii="Times New Roman" w:hAnsi="Times New Roman" w:eastAsia="方正仿宋_GBK" w:cs="Times New Roman"/>
          <w:sz w:val="28"/>
          <w:szCs w:val="28"/>
        </w:rPr>
        <w:t>为备用样品。</w:t>
      </w:r>
    </w:p>
    <w:p w14:paraId="4163A1F0">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检验依据</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
        <w:gridCol w:w="3181"/>
        <w:gridCol w:w="4831"/>
      </w:tblGrid>
      <w:tr w14:paraId="32F4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1049" w:type="dxa"/>
            <w:noWrap w:val="0"/>
            <w:vAlign w:val="center"/>
          </w:tcPr>
          <w:p w14:paraId="43FFE78C">
            <w:pPr>
              <w:ind w:firstLine="0" w:firstLineChars="0"/>
              <w:jc w:val="center"/>
              <w:rPr>
                <w:rFonts w:hint="default" w:ascii="Times New Roman" w:hAnsi="Times New Roman" w:eastAsia="方正仿宋_GBK" w:cs="Times New Roman"/>
                <w:b/>
                <w:bCs/>
                <w:color w:val="auto"/>
                <w:sz w:val="28"/>
                <w:szCs w:val="28"/>
                <w:highlight w:val="none"/>
                <w:lang w:val="en-US" w:eastAsia="zh-CN"/>
              </w:rPr>
            </w:pPr>
            <w:r>
              <w:rPr>
                <w:rFonts w:hint="default" w:ascii="Times New Roman" w:hAnsi="Times New Roman" w:eastAsia="方正仿宋_GBK" w:cs="Times New Roman"/>
                <w:b/>
                <w:bCs/>
                <w:color w:val="auto"/>
                <w:sz w:val="28"/>
                <w:szCs w:val="28"/>
                <w:highlight w:val="none"/>
                <w:lang w:val="en-US" w:eastAsia="zh-CN"/>
              </w:rPr>
              <w:t>序号</w:t>
            </w:r>
          </w:p>
        </w:tc>
        <w:tc>
          <w:tcPr>
            <w:tcW w:w="3181" w:type="dxa"/>
            <w:noWrap w:val="0"/>
            <w:vAlign w:val="center"/>
          </w:tcPr>
          <w:p w14:paraId="79DBAC66">
            <w:pPr>
              <w:ind w:firstLine="0" w:firstLineChars="0"/>
              <w:jc w:val="center"/>
              <w:rPr>
                <w:rFonts w:hint="default" w:ascii="Times New Roman" w:hAnsi="Times New Roman" w:eastAsia="方正仿宋_GBK" w:cs="Times New Roman"/>
                <w:b/>
                <w:bCs/>
                <w:color w:val="auto"/>
                <w:sz w:val="28"/>
                <w:szCs w:val="28"/>
                <w:highlight w:val="none"/>
                <w:lang w:val="en-US" w:eastAsia="zh-CN"/>
              </w:rPr>
            </w:pPr>
            <w:r>
              <w:rPr>
                <w:rFonts w:hint="default" w:ascii="Times New Roman" w:hAnsi="Times New Roman" w:eastAsia="方正仿宋_GBK" w:cs="Times New Roman"/>
                <w:b/>
                <w:bCs/>
                <w:color w:val="auto"/>
                <w:sz w:val="28"/>
                <w:szCs w:val="28"/>
                <w:highlight w:val="none"/>
                <w:lang w:val="en-US" w:eastAsia="zh-CN"/>
              </w:rPr>
              <w:t>检验项目</w:t>
            </w:r>
          </w:p>
        </w:tc>
        <w:tc>
          <w:tcPr>
            <w:tcW w:w="4831" w:type="dxa"/>
            <w:noWrap w:val="0"/>
            <w:vAlign w:val="center"/>
          </w:tcPr>
          <w:p w14:paraId="02CB4FA1">
            <w:pPr>
              <w:ind w:firstLine="0" w:firstLineChars="0"/>
              <w:jc w:val="center"/>
              <w:rPr>
                <w:rFonts w:hint="default" w:ascii="Times New Roman" w:hAnsi="Times New Roman" w:eastAsia="方正仿宋_GBK" w:cs="Times New Roman"/>
                <w:b/>
                <w:bCs/>
                <w:color w:val="auto"/>
                <w:sz w:val="28"/>
                <w:szCs w:val="28"/>
                <w:highlight w:val="none"/>
                <w:lang w:val="en-US" w:eastAsia="zh-CN"/>
              </w:rPr>
            </w:pPr>
            <w:r>
              <w:rPr>
                <w:rFonts w:hint="default" w:ascii="Times New Roman" w:hAnsi="Times New Roman" w:eastAsia="方正仿宋_GBK" w:cs="Times New Roman"/>
                <w:b/>
                <w:bCs/>
                <w:sz w:val="28"/>
                <w:szCs w:val="28"/>
                <w:highlight w:val="none"/>
                <w:lang w:val="en-US" w:eastAsia="zh-CN"/>
              </w:rPr>
              <w:t>检验</w:t>
            </w:r>
            <w:r>
              <w:rPr>
                <w:rFonts w:hint="default" w:ascii="Times New Roman" w:hAnsi="Times New Roman" w:eastAsia="方正仿宋_GBK" w:cs="Times New Roman"/>
                <w:b/>
                <w:bCs/>
                <w:sz w:val="28"/>
                <w:szCs w:val="28"/>
                <w:highlight w:val="none"/>
              </w:rPr>
              <w:t>方法</w:t>
            </w:r>
          </w:p>
        </w:tc>
      </w:tr>
      <w:tr w14:paraId="18A97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6EA306F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1</w:t>
            </w:r>
          </w:p>
        </w:tc>
        <w:tc>
          <w:tcPr>
            <w:tcW w:w="3181" w:type="dxa"/>
            <w:noWrap w:val="0"/>
            <w:vAlign w:val="center"/>
          </w:tcPr>
          <w:p w14:paraId="697CC17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外壳冲击</w:t>
            </w:r>
          </w:p>
        </w:tc>
        <w:tc>
          <w:tcPr>
            <w:tcW w:w="4831" w:type="dxa"/>
            <w:noWrap w:val="0"/>
            <w:vAlign w:val="center"/>
          </w:tcPr>
          <w:p w14:paraId="2377572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GB 4229</w:t>
            </w:r>
            <w:r>
              <w:rPr>
                <w:rFonts w:hint="eastAsia" w:eastAsia="方正仿宋_GBK" w:cs="Times New Roman"/>
                <w:sz w:val="28"/>
                <w:szCs w:val="28"/>
                <w:lang w:val="en-US" w:eastAsia="zh-CN"/>
              </w:rPr>
              <w:t>6</w:t>
            </w:r>
            <w:r>
              <w:rPr>
                <w:rFonts w:hint="default" w:ascii="Times New Roman" w:hAnsi="Times New Roman" w:eastAsia="方正仿宋_GBK" w:cs="Times New Roman"/>
                <w:sz w:val="28"/>
                <w:szCs w:val="28"/>
              </w:rPr>
              <w:t>—2022及第1号修改单</w:t>
            </w:r>
          </w:p>
        </w:tc>
      </w:tr>
      <w:tr w14:paraId="2DA61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3F574CB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2</w:t>
            </w:r>
          </w:p>
        </w:tc>
        <w:tc>
          <w:tcPr>
            <w:tcW w:w="3181" w:type="dxa"/>
            <w:noWrap w:val="0"/>
            <w:vAlign w:val="center"/>
          </w:tcPr>
          <w:p w14:paraId="2BB310F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跌落</w:t>
            </w:r>
          </w:p>
        </w:tc>
        <w:tc>
          <w:tcPr>
            <w:tcW w:w="4831" w:type="dxa"/>
            <w:noWrap w:val="0"/>
            <w:vAlign w:val="center"/>
          </w:tcPr>
          <w:p w14:paraId="30DAE8A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GB 4229</w:t>
            </w:r>
            <w:r>
              <w:rPr>
                <w:rFonts w:hint="eastAsia" w:eastAsia="方正仿宋_GBK" w:cs="Times New Roman"/>
                <w:sz w:val="28"/>
                <w:szCs w:val="28"/>
                <w:lang w:val="en-US" w:eastAsia="zh-CN"/>
              </w:rPr>
              <w:t>6</w:t>
            </w:r>
            <w:r>
              <w:rPr>
                <w:rFonts w:hint="default" w:ascii="Times New Roman" w:hAnsi="Times New Roman" w:eastAsia="方正仿宋_GBK" w:cs="Times New Roman"/>
                <w:sz w:val="28"/>
                <w:szCs w:val="28"/>
              </w:rPr>
              <w:t>—2022及第1号修改单</w:t>
            </w:r>
          </w:p>
        </w:tc>
      </w:tr>
      <w:tr w14:paraId="5D8A8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39A561F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3</w:t>
            </w:r>
          </w:p>
        </w:tc>
        <w:tc>
          <w:tcPr>
            <w:tcW w:w="3181" w:type="dxa"/>
            <w:noWrap w:val="0"/>
            <w:vAlign w:val="center"/>
          </w:tcPr>
          <w:p w14:paraId="6F643E7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工作温度下的泄漏电流</w:t>
            </w:r>
          </w:p>
        </w:tc>
        <w:tc>
          <w:tcPr>
            <w:tcW w:w="4831" w:type="dxa"/>
            <w:noWrap w:val="0"/>
            <w:vAlign w:val="center"/>
          </w:tcPr>
          <w:p w14:paraId="001C174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GB 4229</w:t>
            </w:r>
            <w:r>
              <w:rPr>
                <w:rFonts w:hint="eastAsia" w:eastAsia="方正仿宋_GBK" w:cs="Times New Roman"/>
                <w:sz w:val="28"/>
                <w:szCs w:val="28"/>
                <w:lang w:val="en-US" w:eastAsia="zh-CN"/>
              </w:rPr>
              <w:t>6</w:t>
            </w:r>
            <w:r>
              <w:rPr>
                <w:rFonts w:hint="default" w:ascii="Times New Roman" w:hAnsi="Times New Roman" w:eastAsia="方正仿宋_GBK" w:cs="Times New Roman"/>
                <w:sz w:val="28"/>
                <w:szCs w:val="28"/>
              </w:rPr>
              <w:t>—2022及第1号修改单</w:t>
            </w:r>
          </w:p>
        </w:tc>
      </w:tr>
      <w:tr w14:paraId="519A5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27A7736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4</w:t>
            </w:r>
          </w:p>
        </w:tc>
        <w:tc>
          <w:tcPr>
            <w:tcW w:w="3181" w:type="dxa"/>
            <w:noWrap w:val="0"/>
            <w:vAlign w:val="center"/>
          </w:tcPr>
          <w:p w14:paraId="31432AE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电气强度</w:t>
            </w:r>
          </w:p>
        </w:tc>
        <w:tc>
          <w:tcPr>
            <w:tcW w:w="4831" w:type="dxa"/>
            <w:noWrap w:val="0"/>
            <w:vAlign w:val="center"/>
          </w:tcPr>
          <w:p w14:paraId="4602CAF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GB 4229</w:t>
            </w:r>
            <w:r>
              <w:rPr>
                <w:rFonts w:hint="eastAsia" w:eastAsia="方正仿宋_GBK" w:cs="Times New Roman"/>
                <w:sz w:val="28"/>
                <w:szCs w:val="28"/>
                <w:lang w:val="en-US" w:eastAsia="zh-CN"/>
              </w:rPr>
              <w:t>6</w:t>
            </w:r>
            <w:r>
              <w:rPr>
                <w:rFonts w:hint="default" w:ascii="Times New Roman" w:hAnsi="Times New Roman" w:eastAsia="方正仿宋_GBK" w:cs="Times New Roman"/>
                <w:sz w:val="28"/>
                <w:szCs w:val="28"/>
              </w:rPr>
              <w:t>—2022及第1号修改单</w:t>
            </w:r>
          </w:p>
        </w:tc>
      </w:tr>
      <w:tr w14:paraId="2B49C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vAlign w:val="center"/>
          </w:tcPr>
          <w:p w14:paraId="653002A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5</w:t>
            </w:r>
          </w:p>
        </w:tc>
        <w:tc>
          <w:tcPr>
            <w:tcW w:w="3181" w:type="dxa"/>
            <w:vAlign w:val="center"/>
          </w:tcPr>
          <w:p w14:paraId="5D77D59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防触电保护</w:t>
            </w:r>
          </w:p>
        </w:tc>
        <w:tc>
          <w:tcPr>
            <w:tcW w:w="4831" w:type="dxa"/>
            <w:vAlign w:val="center"/>
          </w:tcPr>
          <w:p w14:paraId="7CB78B9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GB 4229</w:t>
            </w:r>
            <w:r>
              <w:rPr>
                <w:rFonts w:hint="eastAsia" w:eastAsia="方正仿宋_GBK" w:cs="Times New Roman"/>
                <w:sz w:val="28"/>
                <w:szCs w:val="28"/>
                <w:lang w:val="en-US" w:eastAsia="zh-CN"/>
              </w:rPr>
              <w:t>6</w:t>
            </w:r>
            <w:r>
              <w:rPr>
                <w:rFonts w:hint="default" w:ascii="Times New Roman" w:hAnsi="Times New Roman" w:eastAsia="方正仿宋_GBK" w:cs="Times New Roman"/>
                <w:sz w:val="28"/>
                <w:szCs w:val="28"/>
              </w:rPr>
              <w:t>—2022及第1号修改单</w:t>
            </w:r>
          </w:p>
        </w:tc>
      </w:tr>
      <w:tr w14:paraId="01DC1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vAlign w:val="center"/>
          </w:tcPr>
          <w:p w14:paraId="6D3874D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6</w:t>
            </w:r>
          </w:p>
        </w:tc>
        <w:tc>
          <w:tcPr>
            <w:tcW w:w="3181" w:type="dxa"/>
            <w:vAlign w:val="center"/>
          </w:tcPr>
          <w:p w14:paraId="41450AB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rPr>
            </w:pPr>
            <w:r>
              <w:rPr>
                <w:rFonts w:hint="eastAsia" w:ascii="Times New Roman" w:hAnsi="Times New Roman" w:eastAsia="方正仿宋_GBK" w:cs="Times New Roman"/>
                <w:sz w:val="28"/>
                <w:szCs w:val="28"/>
              </w:rPr>
              <w:t>非正常工作</w:t>
            </w:r>
          </w:p>
          <w:p w14:paraId="534964B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（仅测5</w:t>
            </w:r>
            <w:r>
              <w:rPr>
                <w:rFonts w:hint="default" w:ascii="Times New Roman" w:hAnsi="Times New Roman" w:eastAsia="方正仿宋_GBK" w:cs="Times New Roman"/>
                <w:sz w:val="28"/>
                <w:szCs w:val="28"/>
              </w:rPr>
              <w:t>.2.5.1</w:t>
            </w:r>
            <w:r>
              <w:rPr>
                <w:rFonts w:hint="eastAsia" w:ascii="Times New Roman" w:hAnsi="Times New Roman" w:eastAsia="方正仿宋_GBK" w:cs="Times New Roman"/>
                <w:sz w:val="28"/>
                <w:szCs w:val="28"/>
              </w:rPr>
              <w:t>、5</w:t>
            </w:r>
            <w:r>
              <w:rPr>
                <w:rFonts w:hint="default" w:ascii="Times New Roman" w:hAnsi="Times New Roman" w:eastAsia="方正仿宋_GBK" w:cs="Times New Roman"/>
                <w:sz w:val="28"/>
                <w:szCs w:val="28"/>
              </w:rPr>
              <w:t>.2.5.2</w:t>
            </w:r>
            <w:r>
              <w:rPr>
                <w:rFonts w:hint="eastAsia" w:ascii="Times New Roman" w:hAnsi="Times New Roman" w:eastAsia="方正仿宋_GBK" w:cs="Times New Roman"/>
                <w:sz w:val="28"/>
                <w:szCs w:val="28"/>
              </w:rPr>
              <w:t>）</w:t>
            </w:r>
          </w:p>
        </w:tc>
        <w:tc>
          <w:tcPr>
            <w:tcW w:w="4831" w:type="dxa"/>
            <w:vAlign w:val="center"/>
          </w:tcPr>
          <w:p w14:paraId="563F65B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GB 4229</w:t>
            </w:r>
            <w:r>
              <w:rPr>
                <w:rFonts w:hint="eastAsia" w:eastAsia="方正仿宋_GBK" w:cs="Times New Roman"/>
                <w:sz w:val="28"/>
                <w:szCs w:val="28"/>
                <w:lang w:val="en-US" w:eastAsia="zh-CN"/>
              </w:rPr>
              <w:t>6</w:t>
            </w:r>
            <w:r>
              <w:rPr>
                <w:rFonts w:hint="default" w:ascii="Times New Roman" w:hAnsi="Times New Roman" w:eastAsia="方正仿宋_GBK" w:cs="Times New Roman"/>
                <w:sz w:val="28"/>
                <w:szCs w:val="28"/>
              </w:rPr>
              <w:t>—2022及第1号修改单</w:t>
            </w:r>
          </w:p>
        </w:tc>
      </w:tr>
      <w:tr w14:paraId="41130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vAlign w:val="center"/>
          </w:tcPr>
          <w:p w14:paraId="40CB74C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7</w:t>
            </w:r>
          </w:p>
        </w:tc>
        <w:tc>
          <w:tcPr>
            <w:tcW w:w="3181" w:type="dxa"/>
            <w:vAlign w:val="center"/>
          </w:tcPr>
          <w:p w14:paraId="5324546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超温保护</w:t>
            </w:r>
          </w:p>
        </w:tc>
        <w:tc>
          <w:tcPr>
            <w:tcW w:w="4831" w:type="dxa"/>
            <w:vAlign w:val="center"/>
          </w:tcPr>
          <w:p w14:paraId="1C03395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GB 4229</w:t>
            </w:r>
            <w:r>
              <w:rPr>
                <w:rFonts w:hint="eastAsia" w:eastAsia="方正仿宋_GBK" w:cs="Times New Roman"/>
                <w:sz w:val="28"/>
                <w:szCs w:val="28"/>
                <w:lang w:val="en-US" w:eastAsia="zh-CN"/>
              </w:rPr>
              <w:t>6</w:t>
            </w:r>
            <w:r>
              <w:rPr>
                <w:rFonts w:hint="default" w:ascii="Times New Roman" w:hAnsi="Times New Roman" w:eastAsia="方正仿宋_GBK" w:cs="Times New Roman"/>
                <w:sz w:val="28"/>
                <w:szCs w:val="28"/>
              </w:rPr>
              <w:t>—2022及第1号修改单</w:t>
            </w:r>
          </w:p>
        </w:tc>
      </w:tr>
      <w:tr w14:paraId="0039A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vAlign w:val="center"/>
          </w:tcPr>
          <w:p w14:paraId="3777F84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8</w:t>
            </w:r>
          </w:p>
        </w:tc>
        <w:tc>
          <w:tcPr>
            <w:tcW w:w="3181" w:type="dxa"/>
            <w:vAlign w:val="center"/>
          </w:tcPr>
          <w:p w14:paraId="11DB626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过充切断</w:t>
            </w:r>
          </w:p>
        </w:tc>
        <w:tc>
          <w:tcPr>
            <w:tcW w:w="4831" w:type="dxa"/>
            <w:vAlign w:val="center"/>
          </w:tcPr>
          <w:p w14:paraId="3A73B95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GB 4229</w:t>
            </w:r>
            <w:r>
              <w:rPr>
                <w:rFonts w:hint="eastAsia" w:eastAsia="方正仿宋_GBK" w:cs="Times New Roman"/>
                <w:sz w:val="28"/>
                <w:szCs w:val="28"/>
                <w:lang w:val="en-US" w:eastAsia="zh-CN"/>
              </w:rPr>
              <w:t>6</w:t>
            </w:r>
            <w:r>
              <w:rPr>
                <w:rFonts w:hint="default" w:ascii="Times New Roman" w:hAnsi="Times New Roman" w:eastAsia="方正仿宋_GBK" w:cs="Times New Roman"/>
                <w:sz w:val="28"/>
                <w:szCs w:val="28"/>
              </w:rPr>
              <w:t>—2022及第1号修改单</w:t>
            </w:r>
          </w:p>
        </w:tc>
      </w:tr>
      <w:tr w14:paraId="24DC3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vAlign w:val="center"/>
          </w:tcPr>
          <w:p w14:paraId="0E1EA02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9</w:t>
            </w:r>
          </w:p>
        </w:tc>
        <w:tc>
          <w:tcPr>
            <w:tcW w:w="3181" w:type="dxa"/>
            <w:vAlign w:val="center"/>
          </w:tcPr>
          <w:p w14:paraId="0CF6FF8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延时切断</w:t>
            </w:r>
          </w:p>
        </w:tc>
        <w:tc>
          <w:tcPr>
            <w:tcW w:w="4831" w:type="dxa"/>
            <w:vAlign w:val="center"/>
          </w:tcPr>
          <w:p w14:paraId="30CCDE3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GB 4229</w:t>
            </w:r>
            <w:r>
              <w:rPr>
                <w:rFonts w:hint="eastAsia" w:eastAsia="方正仿宋_GBK" w:cs="Times New Roman"/>
                <w:sz w:val="28"/>
                <w:szCs w:val="28"/>
                <w:lang w:val="en-US" w:eastAsia="zh-CN"/>
              </w:rPr>
              <w:t>6</w:t>
            </w:r>
            <w:r>
              <w:rPr>
                <w:rFonts w:hint="default" w:ascii="Times New Roman" w:hAnsi="Times New Roman" w:eastAsia="方正仿宋_GBK" w:cs="Times New Roman"/>
                <w:sz w:val="28"/>
                <w:szCs w:val="28"/>
              </w:rPr>
              <w:t>—2022及第1号修改单</w:t>
            </w:r>
          </w:p>
        </w:tc>
      </w:tr>
      <w:tr w14:paraId="2D154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vAlign w:val="center"/>
          </w:tcPr>
          <w:p w14:paraId="7A583A2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10</w:t>
            </w:r>
          </w:p>
        </w:tc>
        <w:tc>
          <w:tcPr>
            <w:tcW w:w="3181" w:type="dxa"/>
            <w:vAlign w:val="center"/>
          </w:tcPr>
          <w:p w14:paraId="715C2A2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耐热</w:t>
            </w:r>
          </w:p>
        </w:tc>
        <w:tc>
          <w:tcPr>
            <w:tcW w:w="4831" w:type="dxa"/>
            <w:vAlign w:val="center"/>
          </w:tcPr>
          <w:p w14:paraId="285B5BF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GB 4229</w:t>
            </w:r>
            <w:r>
              <w:rPr>
                <w:rFonts w:hint="eastAsia" w:eastAsia="方正仿宋_GBK" w:cs="Times New Roman"/>
                <w:sz w:val="28"/>
                <w:szCs w:val="28"/>
                <w:lang w:val="en-US" w:eastAsia="zh-CN"/>
              </w:rPr>
              <w:t>6</w:t>
            </w:r>
            <w:r>
              <w:rPr>
                <w:rFonts w:hint="default" w:ascii="Times New Roman" w:hAnsi="Times New Roman" w:eastAsia="方正仿宋_GBK" w:cs="Times New Roman"/>
                <w:sz w:val="28"/>
                <w:szCs w:val="28"/>
              </w:rPr>
              <w:t>—2022及第1号修改单</w:t>
            </w:r>
          </w:p>
        </w:tc>
      </w:tr>
      <w:tr w14:paraId="55903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vAlign w:val="center"/>
          </w:tcPr>
          <w:p w14:paraId="2AE1F52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11</w:t>
            </w:r>
          </w:p>
        </w:tc>
        <w:tc>
          <w:tcPr>
            <w:tcW w:w="3181" w:type="dxa"/>
            <w:vAlign w:val="center"/>
          </w:tcPr>
          <w:p w14:paraId="621BCCB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rPr>
              <w:t>灼热丝</w:t>
            </w:r>
          </w:p>
        </w:tc>
        <w:tc>
          <w:tcPr>
            <w:tcW w:w="4831" w:type="dxa"/>
            <w:vAlign w:val="center"/>
          </w:tcPr>
          <w:p w14:paraId="53040DC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GB 4229</w:t>
            </w:r>
            <w:r>
              <w:rPr>
                <w:rFonts w:hint="eastAsia" w:eastAsia="方正仿宋_GBK" w:cs="Times New Roman"/>
                <w:sz w:val="28"/>
                <w:szCs w:val="28"/>
                <w:lang w:val="en-US" w:eastAsia="zh-CN"/>
              </w:rPr>
              <w:t>6</w:t>
            </w:r>
            <w:r>
              <w:rPr>
                <w:rFonts w:hint="default" w:ascii="Times New Roman" w:hAnsi="Times New Roman" w:eastAsia="方正仿宋_GBK" w:cs="Times New Roman"/>
                <w:sz w:val="28"/>
                <w:szCs w:val="28"/>
              </w:rPr>
              <w:t>—2022及第1号修改单</w:t>
            </w:r>
          </w:p>
        </w:tc>
      </w:tr>
      <w:tr w14:paraId="0D2C8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vAlign w:val="center"/>
          </w:tcPr>
          <w:p w14:paraId="54B0BE2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12</w:t>
            </w:r>
          </w:p>
        </w:tc>
        <w:tc>
          <w:tcPr>
            <w:tcW w:w="3181" w:type="dxa"/>
            <w:vAlign w:val="center"/>
          </w:tcPr>
          <w:p w14:paraId="4C2E429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编码</w:t>
            </w:r>
          </w:p>
        </w:tc>
        <w:tc>
          <w:tcPr>
            <w:tcW w:w="4831" w:type="dxa"/>
            <w:vAlign w:val="center"/>
          </w:tcPr>
          <w:p w14:paraId="66D03DF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GB 4229</w:t>
            </w:r>
            <w:r>
              <w:rPr>
                <w:rFonts w:hint="eastAsia" w:eastAsia="方正仿宋_GBK" w:cs="Times New Roman"/>
                <w:sz w:val="28"/>
                <w:szCs w:val="28"/>
                <w:lang w:val="en-US" w:eastAsia="zh-CN"/>
              </w:rPr>
              <w:t>6</w:t>
            </w:r>
            <w:r>
              <w:rPr>
                <w:rFonts w:hint="default" w:ascii="Times New Roman" w:hAnsi="Times New Roman" w:eastAsia="方正仿宋_GBK" w:cs="Times New Roman"/>
                <w:sz w:val="28"/>
                <w:szCs w:val="28"/>
              </w:rPr>
              <w:t>—2022及第1号修改单</w:t>
            </w:r>
          </w:p>
        </w:tc>
      </w:tr>
    </w:tbl>
    <w:p w14:paraId="523F9B5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4.判定规则</w:t>
      </w:r>
    </w:p>
    <w:p w14:paraId="61B7750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4.1依据标准</w:t>
      </w:r>
    </w:p>
    <w:p w14:paraId="41B8E27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 4229</w:t>
      </w:r>
      <w:r>
        <w:rPr>
          <w:rFonts w:hint="eastAsia" w:eastAsia="方正仿宋_GBK" w:cs="Times New Roman"/>
          <w:sz w:val="28"/>
          <w:szCs w:val="28"/>
          <w:lang w:val="en-US" w:eastAsia="zh-CN"/>
        </w:rPr>
        <w:t>6</w:t>
      </w:r>
      <w:r>
        <w:rPr>
          <w:rFonts w:hint="default" w:ascii="Times New Roman" w:hAnsi="Times New Roman" w:eastAsia="方正仿宋_GBK" w:cs="Times New Roman"/>
          <w:sz w:val="28"/>
          <w:szCs w:val="28"/>
        </w:rPr>
        <w:t>—2022 电动自行车</w:t>
      </w:r>
      <w:r>
        <w:rPr>
          <w:rFonts w:hint="eastAsia" w:eastAsia="方正仿宋_GBK" w:cs="Times New Roman"/>
          <w:sz w:val="28"/>
          <w:szCs w:val="28"/>
          <w:lang w:val="en-US" w:eastAsia="zh-CN"/>
        </w:rPr>
        <w:t>用充电器</w:t>
      </w:r>
      <w:r>
        <w:rPr>
          <w:rFonts w:hint="default" w:ascii="Times New Roman" w:hAnsi="Times New Roman" w:eastAsia="方正仿宋_GBK" w:cs="Times New Roman"/>
          <w:sz w:val="28"/>
          <w:szCs w:val="28"/>
        </w:rPr>
        <w:t>及第1号修改单</w:t>
      </w:r>
    </w:p>
    <w:p w14:paraId="2F0B7AA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cs="Times New Roman"/>
        </w:rPr>
      </w:pPr>
      <w:r>
        <w:rPr>
          <w:rFonts w:hint="default" w:ascii="Times New Roman" w:hAnsi="Times New Roman" w:eastAsia="方正仿宋_GBK" w:cs="Times New Roman"/>
          <w:sz w:val="28"/>
          <w:szCs w:val="28"/>
        </w:rPr>
        <w:t>现行有效的企业标准、团体标准、地方标准及产品明示质量要求</w:t>
      </w:r>
    </w:p>
    <w:p w14:paraId="2E5B192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4.2判定原则</w:t>
      </w:r>
    </w:p>
    <w:p w14:paraId="75E9BB7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经检验，检验项目全部合格，判定为被抽查产品所检项目未发现不合格；检验项目中任一项或一项以上不合格，判定为被抽查产品不合格。</w:t>
      </w:r>
    </w:p>
    <w:p w14:paraId="07076C59">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bookmarkStart w:id="0" w:name="_GoBack"/>
      <w:bookmarkEnd w:id="0"/>
      <w:r>
        <w:rPr>
          <w:rFonts w:hint="default" w:ascii="Times New Roman" w:hAnsi="Times New Roman" w:eastAsia="方正仿宋_GBK" w:cs="Times New Roman"/>
          <w:sz w:val="28"/>
          <w:szCs w:val="28"/>
        </w:rPr>
        <w:t>若被检产品明示的质量要求高于本细则中检验项目依据的标准要求时，应按被检产品明示的质量要求判定。</w:t>
      </w:r>
    </w:p>
    <w:p w14:paraId="58CB5A1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若被检产品明示的质量要求低于本细则中检验项目依据的强制性标准要求时，应按照强制性标准要求判定。</w:t>
      </w:r>
    </w:p>
    <w:p w14:paraId="1AAD2E9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若被检产品明示的质量要求低于或包含本细则中检验项目依据的推荐性标准要求时，应以被检产品明示的质量要求判定。</w:t>
      </w:r>
    </w:p>
    <w:p w14:paraId="19D8BAF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若被检产品明示的质量要求缺少本细则中检验项目依据的强制性标准要求时，应按照强制性标准要求判定。</w:t>
      </w:r>
    </w:p>
    <w:p w14:paraId="4B394A9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若被检产品明示的质量要求缺少本细则中检验项目依据的推荐性标准要求时，该项目不参与判定。</w:t>
      </w:r>
    </w:p>
    <w:p w14:paraId="18921C1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4EFA61-6723-4BDC-AA2C-6EC68AABE9C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6E2487B-51D6-4C9A-8492-71DAA2A37800}"/>
  </w:font>
  <w:font w:name="Cambria">
    <w:panose1 w:val="02040503050406030204"/>
    <w:charset w:val="00"/>
    <w:family w:val="roman"/>
    <w:pitch w:val="default"/>
    <w:sig w:usb0="E00006FF" w:usb1="420024FF" w:usb2="02000000" w:usb3="00000000" w:csb0="2000019F" w:csb1="00000000"/>
  </w:font>
  <w:font w:name="方正黑体_GBK">
    <w:panose1 w:val="02000000000000000000"/>
    <w:charset w:val="86"/>
    <w:family w:val="auto"/>
    <w:pitch w:val="default"/>
    <w:sig w:usb0="A00002BF" w:usb1="38CF7CFA" w:usb2="00082016" w:usb3="00000000" w:csb0="00040001" w:csb1="00000000"/>
    <w:embedRegular r:id="rId3" w:fontKey="{E1872A88-F5E0-4381-A179-AA091773F972}"/>
  </w:font>
  <w:font w:name="方正仿宋_GBK">
    <w:panose1 w:val="02000000000000000000"/>
    <w:charset w:val="86"/>
    <w:family w:val="auto"/>
    <w:pitch w:val="default"/>
    <w:sig w:usb0="A00002BF" w:usb1="38CF7CFA" w:usb2="00082016" w:usb3="00000000" w:csb0="00040001" w:csb1="00000000"/>
    <w:embedRegular r:id="rId4" w:fontKey="{EF16FAFC-49B1-44ED-9FBE-0F0B0AE713E3}"/>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3"/>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01E91"/>
    <w:rsid w:val="042018A7"/>
    <w:rsid w:val="247E6D63"/>
    <w:rsid w:val="25470D5C"/>
    <w:rsid w:val="358C0256"/>
    <w:rsid w:val="3FD30DCD"/>
    <w:rsid w:val="4830235B"/>
    <w:rsid w:val="5BC2263F"/>
    <w:rsid w:val="661F044E"/>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after="40" w:line="578" w:lineRule="auto"/>
      <w:jc w:val="center"/>
      <w:outlineLvl w:val="0"/>
    </w:pPr>
    <w:rPr>
      <w:b/>
      <w:bCs/>
      <w:kern w:val="44"/>
      <w:sz w:val="36"/>
      <w:szCs w:val="44"/>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761</Words>
  <Characters>962</Characters>
  <Lines>0</Lines>
  <Paragraphs>0</Paragraphs>
  <TotalTime>10</TotalTime>
  <ScaleCrop>false</ScaleCrop>
  <LinksUpToDate>false</LinksUpToDate>
  <CharactersWithSpaces>982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某了个少</cp:lastModifiedBy>
  <dcterms:modified xsi:type="dcterms:W3CDTF">2026-08-24T02:24:46Z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eyJoZGlkIjoiOTM5YTQ4OGNlMDk1MDkxYWE0MjE0MmE1ZTNlMzljYzgiLCJ1c2VySWQiOiI4NjIxNDUwNDgifQ==</vt:lpwstr>
  </property>
  <property fmtid="{D5CDD505-2E9C-101B-9397-08002B2CF9AE}" pid="4" name="ICV">
    <vt:lpwstr>C3912438DE60464DB50B240A0F5AB1E2_13</vt:lpwstr>
  </property>
</Properties>
</file>