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B1BF">
      <w:pPr>
        <w:jc w:val="center"/>
        <w:rPr>
          <w:rFonts w:hint="default"/>
          <w:lang w:val="en-US"/>
        </w:rPr>
      </w:pPr>
      <w:bookmarkStart w:id="3" w:name="_GoBack"/>
      <w:r>
        <w:rPr>
          <w:rFonts w:hint="eastAsia" w:ascii="宋体" w:hAnsi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2026年度排污许可证技术复核第三方咨询服务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评分标</w:t>
      </w:r>
      <w:bookmarkEnd w:id="3"/>
      <w:r>
        <w:rPr>
          <w:rFonts w:hint="eastAsia" w:ascii="宋体" w:hAnsi="宋体" w:cs="宋体"/>
          <w:b/>
          <w:bCs/>
          <w:i w:val="0"/>
          <w:iCs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准</w:t>
      </w:r>
    </w:p>
    <w:tbl>
      <w:tblPr>
        <w:tblStyle w:val="7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75"/>
        <w:gridCol w:w="7513"/>
        <w:gridCol w:w="748"/>
      </w:tblGrid>
      <w:tr w14:paraId="37C18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642" w:type="dxa"/>
            <w:vAlign w:val="center"/>
          </w:tcPr>
          <w:p w14:paraId="634A4A9A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bookmarkStart w:id="0" w:name="OLE_LINK97"/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14:paraId="7FBB357A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评分因素</w:t>
            </w:r>
          </w:p>
        </w:tc>
        <w:tc>
          <w:tcPr>
            <w:tcW w:w="7513" w:type="dxa"/>
            <w:vAlign w:val="center"/>
          </w:tcPr>
          <w:p w14:paraId="10F7F52C">
            <w:pPr>
              <w:spacing w:line="320" w:lineRule="exact"/>
              <w:ind w:firstLine="2951" w:firstLineChars="1400"/>
              <w:contextualSpacing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评审标准</w:t>
            </w:r>
          </w:p>
        </w:tc>
        <w:tc>
          <w:tcPr>
            <w:tcW w:w="748" w:type="dxa"/>
            <w:vAlign w:val="center"/>
          </w:tcPr>
          <w:p w14:paraId="73B930A1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分值</w:t>
            </w:r>
          </w:p>
        </w:tc>
      </w:tr>
      <w:tr w14:paraId="03618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642" w:type="dxa"/>
            <w:vAlign w:val="center"/>
          </w:tcPr>
          <w:p w14:paraId="5032CD83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3601B5ED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投标报价</w:t>
            </w:r>
          </w:p>
          <w:p w14:paraId="0833C7F1">
            <w:pPr>
              <w:pStyle w:val="4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7513" w:type="dxa"/>
            <w:vAlign w:val="center"/>
          </w:tcPr>
          <w:p w14:paraId="5DEE9467">
            <w:pPr>
              <w:spacing w:after="12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价格分采用低价优先法计算，即满足磋商文件要求且报价最低的供应商最终报价为评审基准价，其价格分为满分10分，其它供应商的价格分统一按照以下公式计算：报价得分=（评审基准价／最终报价）×10分，小数点保留2位（采取四舍五入）</w:t>
            </w:r>
            <w:r>
              <w:rPr>
                <w:rFonts w:hint="eastAsia" w:ascii="宋体" w:hAnsi="宋体" w:eastAsia="宋体" w:cs="宋体"/>
                <w:bCs/>
                <w:color w:val="000000"/>
                <w:lang w:bidi="zh-CN"/>
              </w:rPr>
              <w:t>。</w:t>
            </w:r>
          </w:p>
        </w:tc>
        <w:tc>
          <w:tcPr>
            <w:tcW w:w="748" w:type="dxa"/>
            <w:vAlign w:val="center"/>
          </w:tcPr>
          <w:p w14:paraId="7376B346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</w:tr>
      <w:tr w14:paraId="429B2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tblHeader/>
          <w:jc w:val="center"/>
        </w:trPr>
        <w:tc>
          <w:tcPr>
            <w:tcW w:w="642" w:type="dxa"/>
            <w:vMerge w:val="restart"/>
            <w:vAlign w:val="center"/>
          </w:tcPr>
          <w:p w14:paraId="224028D1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23B76DAF">
            <w:pPr>
              <w:ind w:left="420" w:hanging="42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人员配置</w:t>
            </w:r>
          </w:p>
          <w:p w14:paraId="3DFD4FBC">
            <w:pPr>
              <w:ind w:left="420" w:hanging="42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7513" w:type="dxa"/>
            <w:vAlign w:val="center"/>
          </w:tcPr>
          <w:p w14:paraId="235D208F">
            <w:pPr>
              <w:spacing w:line="320" w:lineRule="exact"/>
              <w:contextualSpacing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项目负责人具有环保类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</w:rPr>
              <w:t>及以上工程师职称的得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满分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（提供有效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职称证书和供应商为其缴纳的（202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月-202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月）社保缴纳证明复印件加盖公章。同一人只计取一次，按高项计取。）</w:t>
            </w:r>
          </w:p>
        </w:tc>
        <w:tc>
          <w:tcPr>
            <w:tcW w:w="748" w:type="dxa"/>
            <w:vAlign w:val="center"/>
          </w:tcPr>
          <w:p w14:paraId="5B2E039F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</w:tr>
      <w:tr w14:paraId="7F194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0527EE6F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9D43B2F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0CFEBBD8">
            <w:pPr>
              <w:spacing w:line="320" w:lineRule="exact"/>
              <w:contextualSpacing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项目组其他人员（项目负责人除外）具有环保类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auto"/>
              </w:rPr>
              <w:t>工程师职称的</w:t>
            </w:r>
            <w:bookmarkStart w:id="1" w:name="OLE_LINK77"/>
            <w:bookmarkStart w:id="2" w:name="OLE_LINK76"/>
            <w:r>
              <w:rPr>
                <w:rFonts w:hint="eastAsia" w:ascii="宋体" w:hAnsi="宋体" w:eastAsia="宋体" w:cs="宋体"/>
                <w:color w:val="auto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分/个</w:t>
            </w:r>
            <w:bookmarkEnd w:id="1"/>
            <w:bookmarkEnd w:id="2"/>
            <w:r>
              <w:rPr>
                <w:rFonts w:hint="eastAsia" w:ascii="宋体" w:hAnsi="宋体" w:eastAsia="宋体" w:cs="宋体"/>
                <w:color w:val="auto"/>
              </w:rPr>
              <w:t>，满分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</w:rPr>
              <w:t>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（提供有效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职称证书和供应商为其缴纳的（202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月-202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月）社保缴纳证明复印件加盖公章。同一人只计取一次，按高项计取。）</w:t>
            </w:r>
          </w:p>
        </w:tc>
        <w:tc>
          <w:tcPr>
            <w:tcW w:w="748" w:type="dxa"/>
            <w:vAlign w:val="center"/>
          </w:tcPr>
          <w:p w14:paraId="5D7E096C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</w:p>
        </w:tc>
      </w:tr>
      <w:tr w14:paraId="72940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642" w:type="dxa"/>
            <w:vAlign w:val="center"/>
          </w:tcPr>
          <w:p w14:paraId="27E54494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14:paraId="04A15E86">
            <w:pPr>
              <w:ind w:left="420" w:hanging="420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供应商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实力</w:t>
            </w:r>
          </w:p>
          <w:p w14:paraId="23B7940F">
            <w:pPr>
              <w:ind w:left="420" w:hanging="420"/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9分）</w:t>
            </w:r>
          </w:p>
        </w:tc>
        <w:tc>
          <w:tcPr>
            <w:tcW w:w="7513" w:type="dxa"/>
            <w:vAlign w:val="center"/>
          </w:tcPr>
          <w:p w14:paraId="4B31D0DB">
            <w:pPr>
              <w:spacing w:line="320" w:lineRule="exact"/>
              <w:contextualSpacing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供应商具有有效期内的质量管理体系认证证书、环境管理体系认证证书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体系认证证书的得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分/个，满分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分。（提供有效的证书复印件加盖公章）</w:t>
            </w:r>
          </w:p>
        </w:tc>
        <w:tc>
          <w:tcPr>
            <w:tcW w:w="748" w:type="dxa"/>
            <w:vAlign w:val="center"/>
          </w:tcPr>
          <w:p w14:paraId="40BE8A8A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</w:p>
        </w:tc>
      </w:tr>
      <w:tr w14:paraId="60AE7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642" w:type="dxa"/>
            <w:vAlign w:val="center"/>
          </w:tcPr>
          <w:p w14:paraId="272E0558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 w14:paraId="37E0E98A">
            <w:pPr>
              <w:ind w:left="420" w:hanging="420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企业业绩</w:t>
            </w:r>
          </w:p>
          <w:p w14:paraId="35E2A500">
            <w:pPr>
              <w:ind w:left="420" w:hanging="420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（20分）</w:t>
            </w:r>
          </w:p>
        </w:tc>
        <w:tc>
          <w:tcPr>
            <w:tcW w:w="7513" w:type="dxa"/>
            <w:vAlign w:val="center"/>
          </w:tcPr>
          <w:p w14:paraId="53A6EDF0">
            <w:pPr>
              <w:spacing w:line="320" w:lineRule="exact"/>
              <w:contextualSpacing/>
              <w:rPr>
                <w:rFonts w:hint="eastAsia"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自20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年1月1日（含）以来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供应商具有排污许可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或生态环境局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工作业绩的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每提供一个得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满分20分。（提供合同复印件加盖公章，时间以合同签订时间为准，提供的合同必须能反映出相关内容，否则视为未提供）</w:t>
            </w:r>
          </w:p>
        </w:tc>
        <w:tc>
          <w:tcPr>
            <w:tcW w:w="748" w:type="dxa"/>
            <w:vAlign w:val="center"/>
          </w:tcPr>
          <w:p w14:paraId="7645BD38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</w:p>
        </w:tc>
      </w:tr>
      <w:tr w14:paraId="340E8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642" w:type="dxa"/>
            <w:vMerge w:val="restart"/>
            <w:vAlign w:val="center"/>
          </w:tcPr>
          <w:p w14:paraId="6F8F710F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43F3B616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服务方案（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7513" w:type="dxa"/>
            <w:vAlign w:val="center"/>
          </w:tcPr>
          <w:p w14:paraId="108CD57B">
            <w:pPr>
              <w:spacing w:line="320" w:lineRule="exact"/>
              <w:contextualSpacing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工作方案：评审工作方案的可行性、科学性以及完整规范性，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方案详细、全面且科学、认知清晰的得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分；方案较为清晰、描述完整及可行性较好的得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分；方案一般，理解一般的得</w: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分；无不得分。</w:t>
            </w:r>
          </w:p>
        </w:tc>
        <w:tc>
          <w:tcPr>
            <w:tcW w:w="748" w:type="dxa"/>
            <w:vAlign w:val="center"/>
          </w:tcPr>
          <w:p w14:paraId="278A3923">
            <w:pPr>
              <w:spacing w:line="320" w:lineRule="exact"/>
              <w:contextualSpacing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34F23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72661B82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ED88084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4E50C582">
            <w:pPr>
              <w:spacing w:line="320" w:lineRule="exact"/>
              <w:contextualSpacing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质量保障措施：保障措施科学、合理且切实可行的得10分；保障措施较为科学，较为合理且可行的得6分；保障措施有所欠缺的得3分；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无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不得分。</w:t>
            </w:r>
          </w:p>
        </w:tc>
        <w:tc>
          <w:tcPr>
            <w:tcW w:w="748" w:type="dxa"/>
            <w:vAlign w:val="center"/>
          </w:tcPr>
          <w:p w14:paraId="41549D20">
            <w:pPr>
              <w:spacing w:line="320" w:lineRule="exact"/>
              <w:contextualSpacing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406D1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44C1A33D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B6F916D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4E7D30AD">
            <w:pPr>
              <w:spacing w:line="320" w:lineRule="exact"/>
              <w:contextualSpacing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进度保障措施：进度控制措施方案全面具体、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 w:bidi="th-TH"/>
              </w:rPr>
              <w:t>有针对性地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10分；方案基本可行、有结合项目的特点、有措施得6分；方案可行性一般、针对性一般得3分；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无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不得分。</w:t>
            </w:r>
          </w:p>
        </w:tc>
        <w:tc>
          <w:tcPr>
            <w:tcW w:w="748" w:type="dxa"/>
            <w:vAlign w:val="center"/>
          </w:tcPr>
          <w:p w14:paraId="26E3C6D8">
            <w:pPr>
              <w:spacing w:line="320" w:lineRule="exact"/>
              <w:contextualSpacing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5275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67EF35BE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35C003B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19D7789D">
            <w:pPr>
              <w:spacing w:line="320" w:lineRule="exact"/>
              <w:contextualSpacing/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项目信息、资料管理措施：管理措施整体合理、严密、描述详细且具有可行性的得10分；基本合理，且有一定可行性的得6分；内容简单、描述一般的得3分；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无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不得分。</w:t>
            </w:r>
          </w:p>
        </w:tc>
        <w:tc>
          <w:tcPr>
            <w:tcW w:w="748" w:type="dxa"/>
            <w:vAlign w:val="center"/>
          </w:tcPr>
          <w:p w14:paraId="6AD5BD98">
            <w:pPr>
              <w:spacing w:line="320" w:lineRule="exact"/>
              <w:contextualSpacing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235F7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0A3EB3D0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CC3E565">
            <w:pPr>
              <w:spacing w:line="32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1F73ED4A">
            <w:pPr>
              <w:spacing w:line="320" w:lineRule="exact"/>
              <w:contextualSpacing/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咨询工作的要点及措施：要点及措施方案全面、针对性强的得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 w:bidi="th-TH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分；方案基本合理，具有一定的针对性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 w:bidi="th-TH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得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 w:bidi="th-TH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分；方案简单，针对性不强的得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 w:bidi="th-TH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分；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无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th-TH"/>
              </w:rPr>
              <w:t>不得分。</w:t>
            </w:r>
          </w:p>
        </w:tc>
        <w:tc>
          <w:tcPr>
            <w:tcW w:w="748" w:type="dxa"/>
            <w:vAlign w:val="center"/>
          </w:tcPr>
          <w:p w14:paraId="039410F1">
            <w:pPr>
              <w:spacing w:line="320" w:lineRule="exact"/>
              <w:contextualSpacing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</w:tr>
      <w:bookmarkEnd w:id="0"/>
    </w:tbl>
    <w:p w14:paraId="31C2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1CB10B6"/>
    <w:rsid w:val="0CD8384C"/>
    <w:rsid w:val="0E616019"/>
    <w:rsid w:val="113F7936"/>
    <w:rsid w:val="22F721AE"/>
    <w:rsid w:val="36F77EB7"/>
    <w:rsid w:val="3EEF7D56"/>
    <w:rsid w:val="42320927"/>
    <w:rsid w:val="5CF80DAF"/>
    <w:rsid w:val="6B342C98"/>
    <w:rsid w:val="715900AD"/>
    <w:rsid w:val="7B1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5">
    <w:name w:val="Body Text First Indent"/>
    <w:basedOn w:val="3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6">
    <w:name w:val="Body Text First Indent 2"/>
    <w:basedOn w:val="4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8">
    <w:name w:val="Table Grid"/>
    <w:basedOn w:val="7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正文文本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1096</Characters>
  <Lines>2</Lines>
  <Paragraphs>1</Paragraphs>
  <TotalTime>0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清风</cp:lastModifiedBy>
  <dcterms:modified xsi:type="dcterms:W3CDTF">2026-04-14T03:05:43Z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eyJoZGlkIjoiMGQ2MDYxZmViMTIyNzUxMjQwMGZkMWY3ZGU2NWUwNTYiLCJ1c2VySWQiOiI0MzMwMTYwNzUifQ==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E1ACCE6952254B7A814C7B74D49757DD_12</vt:lpwstr>
  </property>
</Properties>
</file>