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BFCD0">
      <w:pPr>
        <w:jc w:val="center"/>
        <w:rPr>
          <w:sz w:val="44"/>
          <w:szCs w:val="44"/>
        </w:rPr>
      </w:pPr>
      <w:r>
        <w:rPr>
          <w:rFonts w:hint="eastAsia"/>
          <w:sz w:val="44"/>
          <w:szCs w:val="44"/>
        </w:rPr>
        <w:t>雨花台区入河排污口规范化建设项目跟踪审计和结算审计服务综合评分标准</w:t>
      </w:r>
    </w:p>
    <w:tbl>
      <w:tblPr>
        <w:tblStyle w:val="6"/>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1091"/>
        <w:gridCol w:w="6756"/>
        <w:gridCol w:w="709"/>
      </w:tblGrid>
      <w:tr w14:paraId="3CA6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tcMar>
              <w:top w:w="15" w:type="dxa"/>
              <w:left w:w="15" w:type="dxa"/>
              <w:bottom w:w="0" w:type="dxa"/>
              <w:right w:w="15" w:type="dxa"/>
            </w:tcMar>
            <w:vAlign w:val="center"/>
          </w:tcPr>
          <w:p w14:paraId="1FCA5A9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序号</w:t>
            </w:r>
          </w:p>
        </w:tc>
        <w:tc>
          <w:tcPr>
            <w:tcW w:w="1091" w:type="dxa"/>
            <w:tcMar>
              <w:top w:w="15" w:type="dxa"/>
              <w:left w:w="15" w:type="dxa"/>
              <w:bottom w:w="0" w:type="dxa"/>
              <w:right w:w="15" w:type="dxa"/>
            </w:tcMar>
            <w:vAlign w:val="center"/>
          </w:tcPr>
          <w:p w14:paraId="49D7AD8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评审因素</w:t>
            </w:r>
          </w:p>
        </w:tc>
        <w:tc>
          <w:tcPr>
            <w:tcW w:w="6756" w:type="dxa"/>
            <w:tcMar>
              <w:top w:w="15" w:type="dxa"/>
              <w:left w:w="15" w:type="dxa"/>
              <w:bottom w:w="0" w:type="dxa"/>
              <w:right w:w="15" w:type="dxa"/>
            </w:tcMar>
            <w:vAlign w:val="center"/>
          </w:tcPr>
          <w:p w14:paraId="48D5DFA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评分标准说明</w:t>
            </w:r>
          </w:p>
        </w:tc>
        <w:tc>
          <w:tcPr>
            <w:tcW w:w="709" w:type="dxa"/>
            <w:tcMar>
              <w:top w:w="15" w:type="dxa"/>
              <w:left w:w="15" w:type="dxa"/>
              <w:bottom w:w="0" w:type="dxa"/>
              <w:right w:w="15" w:type="dxa"/>
            </w:tcMar>
            <w:vAlign w:val="center"/>
          </w:tcPr>
          <w:p w14:paraId="257AC08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分值</w:t>
            </w:r>
          </w:p>
        </w:tc>
      </w:tr>
      <w:tr w14:paraId="35B3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23562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一</w:t>
            </w:r>
          </w:p>
        </w:tc>
        <w:tc>
          <w:tcPr>
            <w:tcW w:w="784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8675C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投标报价部分</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8E70B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rPr>
              <w:t>1</w:t>
            </w:r>
            <w:r>
              <w:rPr>
                <w:rFonts w:hint="eastAsia" w:ascii="宋体" w:hAnsi="宋体" w:eastAsia="宋体" w:cs="宋体"/>
                <w:b/>
                <w:color w:val="auto"/>
                <w:kern w:val="2"/>
                <w:sz w:val="24"/>
                <w:szCs w:val="24"/>
                <w:highlight w:val="none"/>
              </w:rPr>
              <w:t>0</w:t>
            </w:r>
          </w:p>
        </w:tc>
      </w:tr>
      <w:tr w14:paraId="1D63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6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1A098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0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BE28D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投标报价</w:t>
            </w:r>
          </w:p>
        </w:tc>
        <w:tc>
          <w:tcPr>
            <w:tcW w:w="675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30627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按满足采购文件要求且最终有效投标价格最低的投标报价作为评审基准价，其价格分为满分；其他供应商的价格分按以下公式计算：投标报价得分＝（评审基准价/最终投标报价）×</w:t>
            </w:r>
            <w:r>
              <w:rPr>
                <w:rFonts w:hint="eastAsia" w:ascii="宋体" w:hAnsi="宋体" w:eastAsia="宋体" w:cs="宋体"/>
                <w:color w:val="auto"/>
                <w:kern w:val="2"/>
                <w:szCs w:val="21"/>
                <w:highlight w:val="none"/>
                <w:lang w:val="en-US" w:eastAsia="zh-CN"/>
              </w:rPr>
              <w:t>1</w:t>
            </w:r>
            <w:r>
              <w:rPr>
                <w:rFonts w:hint="eastAsia" w:ascii="宋体" w:hAnsi="宋体" w:eastAsia="宋体" w:cs="宋体"/>
                <w:color w:val="auto"/>
                <w:kern w:val="2"/>
                <w:szCs w:val="21"/>
                <w:highlight w:val="none"/>
              </w:rPr>
              <w:t>0（分值保留两位小数）。</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6A3E7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0</w:t>
            </w:r>
          </w:p>
        </w:tc>
      </w:tr>
      <w:tr w14:paraId="2C3E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3" w:type="dxa"/>
            <w:tcMar>
              <w:top w:w="15" w:type="dxa"/>
              <w:left w:w="15" w:type="dxa"/>
              <w:bottom w:w="0" w:type="dxa"/>
              <w:right w:w="15" w:type="dxa"/>
            </w:tcMar>
            <w:vAlign w:val="center"/>
          </w:tcPr>
          <w:p w14:paraId="1267B06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二</w:t>
            </w:r>
          </w:p>
        </w:tc>
        <w:tc>
          <w:tcPr>
            <w:tcW w:w="7847" w:type="dxa"/>
            <w:gridSpan w:val="2"/>
            <w:tcMar>
              <w:top w:w="15" w:type="dxa"/>
              <w:left w:w="15" w:type="dxa"/>
              <w:bottom w:w="0" w:type="dxa"/>
              <w:right w:w="15" w:type="dxa"/>
            </w:tcMar>
            <w:vAlign w:val="center"/>
          </w:tcPr>
          <w:p w14:paraId="5EC53E2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商务部分</w:t>
            </w:r>
          </w:p>
        </w:tc>
        <w:tc>
          <w:tcPr>
            <w:tcW w:w="709" w:type="dxa"/>
            <w:tcMar>
              <w:top w:w="15" w:type="dxa"/>
              <w:left w:w="15" w:type="dxa"/>
              <w:bottom w:w="0" w:type="dxa"/>
              <w:right w:w="15" w:type="dxa"/>
            </w:tcMar>
            <w:vAlign w:val="center"/>
          </w:tcPr>
          <w:p w14:paraId="4CF2A97D">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30</w:t>
            </w:r>
          </w:p>
        </w:tc>
      </w:tr>
      <w:tr w14:paraId="362A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663" w:type="dxa"/>
            <w:tcMar>
              <w:top w:w="15" w:type="dxa"/>
              <w:left w:w="15" w:type="dxa"/>
              <w:bottom w:w="0" w:type="dxa"/>
              <w:right w:w="15" w:type="dxa"/>
            </w:tcMar>
            <w:vAlign w:val="center"/>
          </w:tcPr>
          <w:p w14:paraId="668B4DC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091" w:type="dxa"/>
            <w:tcMar>
              <w:top w:w="15" w:type="dxa"/>
              <w:left w:w="15" w:type="dxa"/>
              <w:bottom w:w="0" w:type="dxa"/>
              <w:right w:w="15" w:type="dxa"/>
            </w:tcMar>
            <w:vAlign w:val="center"/>
          </w:tcPr>
          <w:p w14:paraId="6237397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类似业绩</w:t>
            </w:r>
          </w:p>
        </w:tc>
        <w:tc>
          <w:tcPr>
            <w:tcW w:w="6756" w:type="dxa"/>
            <w:shd w:val="clear" w:color="auto" w:fill="auto"/>
            <w:tcMar>
              <w:top w:w="15" w:type="dxa"/>
              <w:left w:w="15" w:type="dxa"/>
              <w:bottom w:w="0" w:type="dxa"/>
              <w:right w:w="15" w:type="dxa"/>
            </w:tcMar>
            <w:vAlign w:val="center"/>
          </w:tcPr>
          <w:p w14:paraId="0C341230">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投标人近年来（自20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年1月1日起，以合同签订时间为准），承担过</w:t>
            </w:r>
            <w:r>
              <w:rPr>
                <w:rFonts w:hint="eastAsia" w:ascii="宋体" w:hAnsi="宋体" w:cs="宋体"/>
                <w:color w:val="auto"/>
                <w:szCs w:val="21"/>
                <w:highlight w:val="none"/>
                <w:lang w:val="en-US" w:eastAsia="zh-CN"/>
              </w:rPr>
              <w:t>类似跟踪审计或者</w:t>
            </w:r>
            <w:bookmarkStart w:id="0" w:name="_GoBack"/>
            <w:bookmarkEnd w:id="0"/>
            <w:r>
              <w:rPr>
                <w:rFonts w:hint="eastAsia" w:ascii="宋体" w:hAnsi="宋体" w:cs="宋体"/>
                <w:color w:val="auto"/>
                <w:szCs w:val="21"/>
                <w:highlight w:val="none"/>
              </w:rPr>
              <w:t>工程结算审计业绩的得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分，本项最多得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p w14:paraId="47D9736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highlight w:val="none"/>
              </w:rPr>
            </w:pPr>
            <w:r>
              <w:rPr>
                <w:rFonts w:hint="eastAsia" w:ascii="宋体" w:hAnsi="宋体"/>
                <w:color w:val="auto"/>
                <w:highlight w:val="none"/>
              </w:rPr>
              <w:t>以上业绩</w:t>
            </w:r>
            <w:r>
              <w:rPr>
                <w:rFonts w:ascii="宋体" w:hAnsi="宋体"/>
                <w:color w:val="auto"/>
                <w:highlight w:val="none"/>
              </w:rPr>
              <w:t>须提供</w:t>
            </w:r>
            <w:r>
              <w:rPr>
                <w:rFonts w:hint="eastAsia" w:ascii="宋体" w:hAnsi="宋体"/>
                <w:b w:val="0"/>
                <w:bCs w:val="0"/>
                <w:color w:val="000000" w:themeColor="text1"/>
                <w:highlight w:val="none"/>
                <w:lang w:val="en-US" w:eastAsia="zh-CN"/>
                <w14:textFill>
                  <w14:solidFill>
                    <w14:schemeClr w14:val="tx1"/>
                  </w14:solidFill>
                </w14:textFill>
              </w:rPr>
              <w:t>合同</w:t>
            </w:r>
            <w:r>
              <w:rPr>
                <w:rFonts w:hint="eastAsia" w:ascii="宋体" w:hAnsi="宋体" w:cs="宋体"/>
                <w:b w:val="0"/>
                <w:bCs w:val="0"/>
                <w:color w:val="auto"/>
                <w:sz w:val="21"/>
                <w:szCs w:val="21"/>
                <w:highlight w:val="none"/>
                <w:lang w:val="en-US" w:eastAsia="zh-CN" w:bidi="ar-SA"/>
              </w:rPr>
              <w:t>原件扫描件</w:t>
            </w:r>
            <w:r>
              <w:rPr>
                <w:rFonts w:hint="eastAsia" w:ascii="宋体" w:hAnsi="宋体"/>
                <w:color w:val="auto"/>
                <w:highlight w:val="none"/>
              </w:rPr>
              <w:t>，</w:t>
            </w:r>
            <w:r>
              <w:rPr>
                <w:rFonts w:ascii="宋体" w:hAnsi="宋体" w:cs="宋体"/>
                <w:color w:val="auto"/>
                <w:highlight w:val="none"/>
              </w:rPr>
              <w:t>未按要求提供的不得分</w:t>
            </w:r>
            <w:r>
              <w:rPr>
                <w:rFonts w:hint="eastAsia" w:ascii="宋体" w:hAnsi="宋体"/>
                <w:color w:val="auto"/>
                <w:highlight w:val="none"/>
              </w:rPr>
              <w:t>。</w:t>
            </w:r>
          </w:p>
        </w:tc>
        <w:tc>
          <w:tcPr>
            <w:tcW w:w="709" w:type="dxa"/>
            <w:tcMar>
              <w:top w:w="15" w:type="dxa"/>
              <w:left w:w="15" w:type="dxa"/>
              <w:bottom w:w="0" w:type="dxa"/>
              <w:right w:w="15" w:type="dxa"/>
            </w:tcMar>
            <w:vAlign w:val="center"/>
          </w:tcPr>
          <w:p w14:paraId="1556CD3D">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auto"/>
                <w:kern w:val="2"/>
                <w:sz w:val="24"/>
                <w:szCs w:val="20"/>
                <w:highlight w:val="none"/>
                <w:lang w:val="en-US" w:eastAsia="zh-CN"/>
              </w:rPr>
            </w:pPr>
            <w:r>
              <w:rPr>
                <w:rFonts w:hint="eastAsia" w:ascii="宋体" w:hAnsi="宋体" w:eastAsia="宋体" w:cs="宋体"/>
                <w:color w:val="auto"/>
                <w:kern w:val="2"/>
                <w:sz w:val="24"/>
                <w:szCs w:val="20"/>
                <w:highlight w:val="none"/>
                <w:lang w:val="en-US" w:eastAsia="zh-CN"/>
              </w:rPr>
              <w:t>12</w:t>
            </w:r>
          </w:p>
        </w:tc>
      </w:tr>
      <w:tr w14:paraId="7DCE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 w:hRule="atLeast"/>
          <w:jc w:val="center"/>
        </w:trPr>
        <w:tc>
          <w:tcPr>
            <w:tcW w:w="663" w:type="dxa"/>
            <w:tcMar>
              <w:top w:w="15" w:type="dxa"/>
              <w:left w:w="15" w:type="dxa"/>
              <w:bottom w:w="0" w:type="dxa"/>
              <w:right w:w="15" w:type="dxa"/>
            </w:tcMar>
            <w:vAlign w:val="center"/>
          </w:tcPr>
          <w:p w14:paraId="5305D0C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w:t>
            </w:r>
          </w:p>
        </w:tc>
        <w:tc>
          <w:tcPr>
            <w:tcW w:w="1091" w:type="dxa"/>
            <w:tcMar>
              <w:top w:w="15" w:type="dxa"/>
              <w:left w:w="15" w:type="dxa"/>
              <w:bottom w:w="0" w:type="dxa"/>
              <w:right w:w="15" w:type="dxa"/>
            </w:tcMar>
            <w:vAlign w:val="center"/>
          </w:tcPr>
          <w:p w14:paraId="78F49B3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人员配置</w:t>
            </w:r>
          </w:p>
        </w:tc>
        <w:tc>
          <w:tcPr>
            <w:tcW w:w="6756" w:type="dxa"/>
            <w:tcMar>
              <w:top w:w="15" w:type="dxa"/>
              <w:left w:w="15" w:type="dxa"/>
              <w:bottom w:w="0" w:type="dxa"/>
              <w:right w:w="15" w:type="dxa"/>
            </w:tcMar>
            <w:vAlign w:val="center"/>
          </w:tcPr>
          <w:p w14:paraId="19D088A4">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b/>
                <w:bCs/>
                <w:color w:val="auto"/>
                <w:kern w:val="2"/>
                <w:szCs w:val="21"/>
                <w:highlight w:val="none"/>
                <w:lang w:eastAsia="zh-CN"/>
              </w:rPr>
            </w:pPr>
            <w:r>
              <w:rPr>
                <w:rFonts w:hint="eastAsia" w:ascii="宋体" w:hAnsi="宋体" w:eastAsia="宋体" w:cs="宋体"/>
                <w:b/>
                <w:bCs/>
                <w:color w:val="auto"/>
                <w:kern w:val="2"/>
                <w:szCs w:val="21"/>
                <w:highlight w:val="none"/>
                <w:lang w:val="en-US" w:eastAsia="zh-CN"/>
              </w:rPr>
              <w:t>1.</w:t>
            </w:r>
            <w:r>
              <w:rPr>
                <w:rFonts w:hint="eastAsia" w:ascii="宋体" w:hAnsi="宋体" w:eastAsia="宋体" w:cs="宋体"/>
                <w:b/>
                <w:bCs/>
                <w:color w:val="auto"/>
                <w:kern w:val="2"/>
                <w:szCs w:val="21"/>
                <w:highlight w:val="none"/>
              </w:rPr>
              <w:t>项目负责人（6分）</w:t>
            </w:r>
            <w:r>
              <w:rPr>
                <w:rFonts w:hint="eastAsia" w:ascii="宋体" w:hAnsi="宋体" w:eastAsia="宋体" w:cs="宋体"/>
                <w:b/>
                <w:bCs/>
                <w:color w:val="auto"/>
                <w:kern w:val="2"/>
                <w:szCs w:val="21"/>
                <w:highlight w:val="none"/>
                <w:lang w:eastAsia="zh-CN"/>
              </w:rPr>
              <w:t>：</w:t>
            </w:r>
          </w:p>
          <w:p w14:paraId="038AE5C4">
            <w:pPr>
              <w:pStyle w:val="9"/>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（1）项目负责人具有建设工程类高级工程师</w:t>
            </w:r>
            <w:r>
              <w:rPr>
                <w:rFonts w:hint="eastAsia" w:ascii="宋体" w:hAnsi="宋体" w:cs="宋体"/>
                <w:color w:val="auto"/>
                <w:sz w:val="21"/>
                <w:szCs w:val="21"/>
                <w:highlight w:val="none"/>
                <w:lang w:val="en-US" w:eastAsia="zh-CN"/>
              </w:rPr>
              <w:t>及以上</w:t>
            </w:r>
            <w:r>
              <w:rPr>
                <w:rFonts w:hint="eastAsia" w:ascii="宋体" w:hAnsi="宋体" w:cs="宋体"/>
                <w:color w:val="auto"/>
                <w:sz w:val="21"/>
                <w:szCs w:val="21"/>
                <w:highlight w:val="none"/>
              </w:rPr>
              <w:t>职称的得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分，具有建设工程类中级职称的得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分，具有除土木建筑国家注册一级造价工程师（或土建国家注册造价工程师）以外其他建设工程类国家注册执业资格的得1分。本项最高得3分。</w:t>
            </w:r>
          </w:p>
          <w:p w14:paraId="34F67422">
            <w:pPr>
              <w:keepNext w:val="0"/>
              <w:keepLines w:val="0"/>
              <w:pageBreakBefore w:val="0"/>
              <w:widowControl/>
              <w:kinsoku/>
              <w:wordWrap/>
              <w:overflowPunct/>
              <w:topLinePunct w:val="0"/>
              <w:autoSpaceDE/>
              <w:autoSpaceDN/>
              <w:bidi w:val="0"/>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（2）项目负责人取得</w:t>
            </w:r>
            <w:r>
              <w:rPr>
                <w:rFonts w:hint="eastAsia" w:ascii="宋体" w:hAnsi="宋体" w:eastAsia="宋体" w:cs="宋体"/>
                <w:color w:val="auto"/>
                <w:sz w:val="21"/>
                <w:szCs w:val="21"/>
                <w:highlight w:val="none"/>
                <w:lang w:val="en-US" w:eastAsia="zh-CN" w:bidi="ar-SA"/>
              </w:rPr>
              <w:t>土木建筑国家注册一级造价工程师（或土建国家注册造价工程师）</w:t>
            </w:r>
            <w:r>
              <w:rPr>
                <w:rFonts w:hint="eastAsia" w:ascii="宋体" w:hAnsi="宋体" w:cs="宋体"/>
                <w:color w:val="auto"/>
                <w:sz w:val="21"/>
                <w:szCs w:val="21"/>
                <w:highlight w:val="none"/>
              </w:rPr>
              <w:t>注册</w:t>
            </w:r>
            <w:r>
              <w:rPr>
                <w:rFonts w:hint="eastAsia" w:ascii="宋体" w:hAnsi="宋体" w:cs="宋体"/>
                <w:color w:val="auto"/>
                <w:sz w:val="21"/>
                <w:szCs w:val="21"/>
                <w:highlight w:val="none"/>
                <w:lang w:val="en-US" w:eastAsia="zh-CN"/>
              </w:rPr>
              <w:t>证书</w:t>
            </w:r>
            <w:r>
              <w:rPr>
                <w:rFonts w:hint="eastAsia" w:ascii="宋体" w:hAnsi="宋体" w:cs="宋体"/>
                <w:color w:val="auto"/>
                <w:sz w:val="21"/>
                <w:szCs w:val="21"/>
                <w:highlight w:val="none"/>
              </w:rPr>
              <w:t>满1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年及以上的得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分，取得注册</w:t>
            </w:r>
            <w:r>
              <w:rPr>
                <w:rFonts w:hint="eastAsia" w:ascii="宋体" w:hAnsi="宋体" w:cs="宋体"/>
                <w:color w:val="auto"/>
                <w:sz w:val="21"/>
                <w:szCs w:val="21"/>
                <w:highlight w:val="none"/>
                <w:lang w:val="en-US" w:eastAsia="zh-CN"/>
              </w:rPr>
              <w:t>证书</w:t>
            </w:r>
            <w:r>
              <w:rPr>
                <w:rFonts w:hint="eastAsia" w:ascii="宋体" w:hAnsi="宋体" w:cs="宋体"/>
                <w:color w:val="auto"/>
                <w:sz w:val="21"/>
                <w:szCs w:val="21"/>
                <w:highlight w:val="none"/>
              </w:rPr>
              <w:t>满</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年及以上的得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取得注册证书满5年及以上得1分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按最高分计1次，</w:t>
            </w:r>
            <w:r>
              <w:rPr>
                <w:rFonts w:hint="eastAsia" w:ascii="宋体" w:hAnsi="宋体" w:cs="宋体"/>
                <w:color w:val="auto"/>
                <w:sz w:val="21"/>
                <w:szCs w:val="21"/>
                <w:highlight w:val="none"/>
              </w:rPr>
              <w:t>本项最高得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14:paraId="0C4C4697">
            <w:pPr>
              <w:keepNext w:val="0"/>
              <w:keepLines w:val="0"/>
              <w:pageBreakBefore w:val="0"/>
              <w:widowControl/>
              <w:kinsoku/>
              <w:wordWrap/>
              <w:overflowPunct/>
              <w:topLinePunct w:val="0"/>
              <w:autoSpaceDE/>
              <w:autoSpaceDN/>
              <w:bidi w:val="0"/>
              <w:spacing w:line="360" w:lineRule="exact"/>
              <w:textAlignment w:val="auto"/>
              <w:rPr>
                <w:rFonts w:hint="eastAsia" w:ascii="宋体" w:hAnsi="宋体" w:cs="宋体"/>
                <w:b/>
                <w:bCs/>
                <w:color w:val="auto"/>
                <w:highlight w:val="none"/>
                <w:lang w:eastAsia="zh-CN"/>
              </w:rPr>
            </w:pPr>
            <w:r>
              <w:rPr>
                <w:rFonts w:hint="eastAsia"/>
                <w:b/>
                <w:bCs/>
                <w:color w:val="auto"/>
                <w:highlight w:val="none"/>
                <w:lang w:val="en-US" w:eastAsia="zh-CN"/>
              </w:rPr>
              <w:t>2.</w:t>
            </w:r>
            <w:r>
              <w:rPr>
                <w:rFonts w:hint="eastAsia"/>
                <w:b/>
                <w:bCs/>
                <w:color w:val="auto"/>
                <w:highlight w:val="none"/>
              </w:rPr>
              <w:t>项目组成员</w:t>
            </w:r>
            <w:r>
              <w:rPr>
                <w:rFonts w:hint="eastAsia"/>
                <w:b/>
                <w:bCs/>
                <w:color w:val="auto"/>
                <w:highlight w:val="none"/>
                <w:lang w:eastAsia="zh-CN"/>
              </w:rPr>
              <w:t>（</w:t>
            </w:r>
            <w:r>
              <w:rPr>
                <w:rFonts w:hint="eastAsia"/>
                <w:b/>
                <w:bCs/>
                <w:color w:val="auto"/>
                <w:highlight w:val="none"/>
                <w:lang w:val="en-US" w:eastAsia="zh-CN"/>
              </w:rPr>
              <w:t>项目负责人除外）</w:t>
            </w:r>
            <w:r>
              <w:rPr>
                <w:rFonts w:hint="eastAsia" w:ascii="宋体" w:hAnsi="宋体" w:cs="宋体"/>
                <w:b/>
                <w:bCs/>
                <w:color w:val="auto"/>
                <w:highlight w:val="none"/>
              </w:rPr>
              <w:t>（</w:t>
            </w:r>
            <w:r>
              <w:rPr>
                <w:rFonts w:hint="eastAsia" w:ascii="宋体" w:hAnsi="宋体" w:cs="宋体"/>
                <w:b/>
                <w:bCs/>
                <w:color w:val="auto"/>
                <w:highlight w:val="none"/>
                <w:lang w:val="en-US" w:eastAsia="zh-CN"/>
              </w:rPr>
              <w:t>12</w:t>
            </w:r>
            <w:r>
              <w:rPr>
                <w:rFonts w:hint="eastAsia" w:ascii="宋体" w:hAnsi="宋体" w:cs="宋体"/>
                <w:b/>
                <w:bCs/>
                <w:color w:val="auto"/>
                <w:highlight w:val="none"/>
              </w:rPr>
              <w:t>分）</w:t>
            </w:r>
            <w:r>
              <w:rPr>
                <w:rFonts w:hint="eastAsia" w:ascii="宋体" w:hAnsi="宋体" w:cs="宋体"/>
                <w:b/>
                <w:bCs/>
                <w:color w:val="auto"/>
                <w:highlight w:val="none"/>
                <w:lang w:eastAsia="zh-CN"/>
              </w:rPr>
              <w:t>：</w:t>
            </w:r>
          </w:p>
          <w:p w14:paraId="3D67E8A8">
            <w:pPr>
              <w:keepNext w:val="0"/>
              <w:keepLines w:val="0"/>
              <w:pageBreakBefore w:val="0"/>
              <w:widowControl/>
              <w:kinsoku/>
              <w:wordWrap/>
              <w:overflowPunct/>
              <w:topLinePunct w:val="0"/>
              <w:autoSpaceDE/>
              <w:autoSpaceDN/>
              <w:bidi w:val="0"/>
              <w:spacing w:line="360" w:lineRule="exac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（1）项目组成员中取得土木建筑国家注册一级造价工程师（或土建国家注册造价工程师）注册证书且在响应人单位注册的，每提供1名得1分，本项最高得6分；</w:t>
            </w:r>
          </w:p>
          <w:p w14:paraId="0DD95EE2">
            <w:pPr>
              <w:keepNext w:val="0"/>
              <w:keepLines w:val="0"/>
              <w:pageBreakBefore w:val="0"/>
              <w:widowControl/>
              <w:kinsoku/>
              <w:wordWrap/>
              <w:overflowPunct/>
              <w:topLinePunct w:val="0"/>
              <w:autoSpaceDE/>
              <w:autoSpaceDN/>
              <w:bidi w:val="0"/>
              <w:spacing w:line="360" w:lineRule="exac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（2）项目组成员中取得安装工程国家注册一级造价工程师（或安装国家注册造价工程师）注册证书且在响应人单位注册的每提供1名得1分，本项最高得3分；</w:t>
            </w:r>
          </w:p>
          <w:p w14:paraId="611F05C3">
            <w:pPr>
              <w:keepNext w:val="0"/>
              <w:keepLines w:val="0"/>
              <w:pageBreakBefore w:val="0"/>
              <w:widowControl/>
              <w:kinsoku/>
              <w:wordWrap/>
              <w:overflowPunct/>
              <w:topLinePunct w:val="0"/>
              <w:autoSpaceDE/>
              <w:autoSpaceDN/>
              <w:bidi w:val="0"/>
              <w:spacing w:line="360" w:lineRule="exac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（3）项目组成员中具有建设工程类高级工程师及以上职称的，每提供1名得1分，具有建设工程类中级工程师职称的每提供1名得0.5分，本项最高得3分。</w:t>
            </w:r>
          </w:p>
          <w:p w14:paraId="39AB6DC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注：</w:t>
            </w:r>
          </w:p>
          <w:p w14:paraId="42CE0E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（1）投标文件中应提供满足得分条件相应的职称证书、执业（职业）证书、注册证书等</w:t>
            </w:r>
            <w:r>
              <w:rPr>
                <w:rFonts w:hint="eastAsia" w:ascii="宋体" w:hAnsi="宋体" w:cs="宋体"/>
                <w:b/>
                <w:bCs/>
                <w:sz w:val="21"/>
                <w:szCs w:val="21"/>
                <w:highlight w:val="none"/>
                <w:lang w:val="en-US" w:eastAsia="zh-CN" w:bidi="ar-SA"/>
              </w:rPr>
              <w:t>原件扫描件</w:t>
            </w:r>
            <w:r>
              <w:rPr>
                <w:rFonts w:hint="eastAsia" w:ascii="宋体" w:hAnsi="宋体" w:eastAsia="宋体" w:cs="宋体"/>
                <w:b/>
                <w:bCs/>
                <w:sz w:val="21"/>
                <w:szCs w:val="21"/>
                <w:highlight w:val="none"/>
                <w:lang w:val="en-US" w:eastAsia="zh-CN" w:bidi="ar-SA"/>
              </w:rPr>
              <w:t>；</w:t>
            </w:r>
          </w:p>
          <w:p w14:paraId="0311140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（2）注册年限以注册证书上的</w:t>
            </w:r>
            <w:r>
              <w:rPr>
                <w:rFonts w:hint="eastAsia" w:ascii="宋体" w:hAnsi="宋体" w:cs="宋体"/>
                <w:b/>
                <w:bCs/>
                <w:sz w:val="21"/>
                <w:szCs w:val="21"/>
                <w:highlight w:val="none"/>
                <w:lang w:val="en-US" w:eastAsia="zh-CN" w:bidi="ar-SA"/>
              </w:rPr>
              <w:t>初始注册</w:t>
            </w:r>
            <w:r>
              <w:rPr>
                <w:rFonts w:hint="eastAsia" w:ascii="宋体" w:hAnsi="宋体" w:eastAsia="宋体" w:cs="宋体"/>
                <w:b/>
                <w:bCs/>
                <w:sz w:val="21"/>
                <w:szCs w:val="21"/>
                <w:highlight w:val="none"/>
                <w:lang w:val="en-US" w:eastAsia="zh-CN" w:bidi="ar-SA"/>
              </w:rPr>
              <w:t>日期至采购公告发布首日计算；</w:t>
            </w:r>
          </w:p>
          <w:p w14:paraId="75EEE7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3）项目组成员（项目负责人除外）加分时如同一人员既具备[土木建筑国家注册一级造价工程师（或土建国家注册造价工程师）]又具备[安装工程国家注册一级造价工程师（或安装国家注册造价工程师）]资格，仅计取一次（即仅得1分）；</w:t>
            </w:r>
          </w:p>
          <w:p w14:paraId="500673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（4）项目组成员（项目负责人除外）加分时如同一人员既具备国家注册一级造价工程师（或国家注册造价工程师）又具有工程类职称可按上述评审标准同时加分，同一人员最高得2分；</w:t>
            </w:r>
          </w:p>
          <w:p w14:paraId="7AD217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w:t>
            </w:r>
            <w:r>
              <w:rPr>
                <w:rFonts w:hint="eastAsia" w:ascii="宋体" w:hAnsi="宋体" w:cs="宋体"/>
                <w:b/>
                <w:bCs/>
                <w:sz w:val="21"/>
                <w:szCs w:val="21"/>
                <w:highlight w:val="none"/>
                <w:lang w:val="en-US" w:eastAsia="zh-CN" w:bidi="ar-SA"/>
              </w:rPr>
              <w:t>5</w:t>
            </w:r>
            <w:r>
              <w:rPr>
                <w:rFonts w:hint="eastAsia" w:ascii="宋体" w:hAnsi="宋体" w:eastAsia="宋体" w:cs="宋体"/>
                <w:b/>
                <w:bCs/>
                <w:sz w:val="21"/>
                <w:szCs w:val="21"/>
                <w:highlight w:val="none"/>
                <w:lang w:val="en-US" w:eastAsia="zh-CN" w:bidi="ar-SA"/>
              </w:rPr>
              <w:t>）供应商须提供本单位或其分公司为以上人员缴纳的养老保险缴费证明（时间为202</w:t>
            </w:r>
            <w:r>
              <w:rPr>
                <w:rFonts w:hint="eastAsia" w:ascii="宋体" w:hAnsi="宋体" w:cs="宋体"/>
                <w:b/>
                <w:bCs/>
                <w:sz w:val="21"/>
                <w:szCs w:val="21"/>
                <w:highlight w:val="none"/>
                <w:lang w:val="en-US" w:eastAsia="zh-CN" w:bidi="ar-SA"/>
              </w:rPr>
              <w:t>5</w:t>
            </w:r>
            <w:r>
              <w:rPr>
                <w:rFonts w:hint="eastAsia" w:ascii="宋体" w:hAnsi="宋体" w:eastAsia="宋体" w:cs="宋体"/>
                <w:b/>
                <w:bCs/>
                <w:sz w:val="21"/>
                <w:szCs w:val="21"/>
                <w:highlight w:val="none"/>
                <w:lang w:val="en-US" w:eastAsia="zh-CN" w:bidi="ar-SA"/>
              </w:rPr>
              <w:t>年</w:t>
            </w:r>
            <w:r>
              <w:rPr>
                <w:rFonts w:hint="eastAsia" w:ascii="宋体" w:hAnsi="宋体" w:cs="宋体"/>
                <w:b/>
                <w:bCs/>
                <w:sz w:val="21"/>
                <w:szCs w:val="21"/>
                <w:highlight w:val="none"/>
                <w:lang w:val="en-US" w:eastAsia="zh-CN" w:bidi="ar-SA"/>
              </w:rPr>
              <w:t>7</w:t>
            </w:r>
            <w:r>
              <w:rPr>
                <w:rFonts w:hint="eastAsia" w:ascii="宋体" w:hAnsi="宋体" w:eastAsia="宋体" w:cs="宋体"/>
                <w:b/>
                <w:bCs/>
                <w:sz w:val="21"/>
                <w:szCs w:val="21"/>
                <w:highlight w:val="none"/>
                <w:lang w:val="en-US" w:eastAsia="zh-CN" w:bidi="ar-SA"/>
              </w:rPr>
              <w:t>月- 202</w:t>
            </w:r>
            <w:r>
              <w:rPr>
                <w:rFonts w:hint="eastAsia" w:ascii="宋体" w:hAnsi="宋体" w:cs="宋体"/>
                <w:b/>
                <w:bCs/>
                <w:sz w:val="21"/>
                <w:szCs w:val="21"/>
                <w:highlight w:val="none"/>
                <w:lang w:val="en-US" w:eastAsia="zh-CN" w:bidi="ar-SA"/>
              </w:rPr>
              <w:t>5</w:t>
            </w:r>
            <w:r>
              <w:rPr>
                <w:rFonts w:hint="eastAsia" w:ascii="宋体" w:hAnsi="宋体" w:eastAsia="宋体" w:cs="宋体"/>
                <w:b/>
                <w:bCs/>
                <w:sz w:val="21"/>
                <w:szCs w:val="21"/>
                <w:highlight w:val="none"/>
                <w:lang w:val="en-US" w:eastAsia="zh-CN" w:bidi="ar-SA"/>
              </w:rPr>
              <w:t>年</w:t>
            </w:r>
            <w:r>
              <w:rPr>
                <w:rFonts w:hint="eastAsia" w:ascii="宋体" w:hAnsi="宋体" w:cs="宋体"/>
                <w:b/>
                <w:bCs/>
                <w:sz w:val="21"/>
                <w:szCs w:val="21"/>
                <w:highlight w:val="none"/>
                <w:lang w:val="en-US" w:eastAsia="zh-CN" w:bidi="ar-SA"/>
              </w:rPr>
              <w:t>12</w:t>
            </w:r>
            <w:r>
              <w:rPr>
                <w:rFonts w:hint="eastAsia" w:ascii="宋体" w:hAnsi="宋体" w:eastAsia="宋体" w:cs="宋体"/>
                <w:b/>
                <w:bCs/>
                <w:sz w:val="21"/>
                <w:szCs w:val="21"/>
                <w:highlight w:val="none"/>
                <w:lang w:val="en-US" w:eastAsia="zh-CN" w:bidi="ar-SA"/>
              </w:rPr>
              <w:t>月中的任意一个月即可）。提供的养老保险缴费证明应载明缴费单位名称、姓名、缴费时间，并盖有社保中心章或社保中心参保缴费证明电子专用章，不能提供养老保险缴纳证明的高等院校、科研机构、军事管理、事业单位等的人员、须由所在单位上级人事主管部门提供相应的证明材料），退休人员（不超过 65 岁）提供退休证明；</w:t>
            </w:r>
          </w:p>
          <w:p w14:paraId="1B1557A3">
            <w:pPr>
              <w:keepNext w:val="0"/>
              <w:keepLines w:val="0"/>
              <w:pageBreakBefore w:val="0"/>
              <w:widowControl/>
              <w:kinsoku/>
              <w:wordWrap/>
              <w:overflowPunct/>
              <w:topLinePunct w:val="0"/>
              <w:autoSpaceDE/>
              <w:autoSpaceDN/>
              <w:bidi w:val="0"/>
              <w:spacing w:line="360" w:lineRule="exact"/>
              <w:textAlignment w:val="auto"/>
              <w:rPr>
                <w:rFonts w:hint="eastAsia" w:ascii="宋体" w:hAnsi="宋体" w:cs="宋体"/>
                <w:color w:val="auto"/>
                <w:highlight w:val="none"/>
                <w:lang w:eastAsia="zh-CN"/>
              </w:rPr>
            </w:pPr>
            <w:r>
              <w:rPr>
                <w:rFonts w:hint="eastAsia" w:ascii="宋体" w:hAnsi="宋体" w:eastAsia="宋体" w:cs="宋体"/>
                <w:b/>
                <w:bCs/>
                <w:sz w:val="21"/>
                <w:szCs w:val="21"/>
                <w:highlight w:val="none"/>
                <w:lang w:val="en-US" w:eastAsia="zh-CN" w:bidi="ar-SA"/>
              </w:rPr>
              <w:t>不按上述要求提供或提供材料不符合要求的不得分。</w:t>
            </w:r>
          </w:p>
        </w:tc>
        <w:tc>
          <w:tcPr>
            <w:tcW w:w="709" w:type="dxa"/>
            <w:tcMar>
              <w:top w:w="15" w:type="dxa"/>
              <w:left w:w="15" w:type="dxa"/>
              <w:bottom w:w="0" w:type="dxa"/>
              <w:right w:w="15" w:type="dxa"/>
            </w:tcMar>
            <w:vAlign w:val="center"/>
          </w:tcPr>
          <w:p w14:paraId="4F63FE9D">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auto"/>
                <w:kern w:val="2"/>
                <w:sz w:val="32"/>
                <w:highlight w:val="none"/>
                <w:lang w:val="en-US" w:eastAsia="zh-CN"/>
              </w:rPr>
            </w:pPr>
            <w:r>
              <w:rPr>
                <w:rFonts w:hint="eastAsia" w:ascii="宋体" w:hAnsi="宋体" w:eastAsia="宋体" w:cs="宋体"/>
                <w:color w:val="auto"/>
                <w:kern w:val="2"/>
                <w:sz w:val="24"/>
                <w:szCs w:val="20"/>
                <w:highlight w:val="none"/>
                <w:lang w:val="en-US" w:eastAsia="zh-CN"/>
              </w:rPr>
              <w:t>18</w:t>
            </w:r>
          </w:p>
        </w:tc>
      </w:tr>
      <w:tr w14:paraId="7689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3" w:type="dxa"/>
            <w:tcMar>
              <w:top w:w="15" w:type="dxa"/>
              <w:left w:w="15" w:type="dxa"/>
              <w:bottom w:w="0" w:type="dxa"/>
              <w:right w:w="15" w:type="dxa"/>
            </w:tcMar>
            <w:vAlign w:val="center"/>
          </w:tcPr>
          <w:p w14:paraId="4122C88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三</w:t>
            </w:r>
          </w:p>
        </w:tc>
        <w:tc>
          <w:tcPr>
            <w:tcW w:w="7847" w:type="dxa"/>
            <w:gridSpan w:val="2"/>
            <w:tcMar>
              <w:top w:w="15" w:type="dxa"/>
              <w:left w:w="15" w:type="dxa"/>
              <w:bottom w:w="0" w:type="dxa"/>
              <w:right w:w="15" w:type="dxa"/>
            </w:tcMar>
            <w:vAlign w:val="center"/>
          </w:tcPr>
          <w:p w14:paraId="7929E86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技术部分</w:t>
            </w:r>
          </w:p>
        </w:tc>
        <w:tc>
          <w:tcPr>
            <w:tcW w:w="709" w:type="dxa"/>
            <w:tcMar>
              <w:top w:w="15" w:type="dxa"/>
              <w:left w:w="15" w:type="dxa"/>
              <w:bottom w:w="0" w:type="dxa"/>
              <w:right w:w="15" w:type="dxa"/>
            </w:tcMar>
            <w:vAlign w:val="center"/>
          </w:tcPr>
          <w:p w14:paraId="09C019D9">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color w:val="auto"/>
                <w:kern w:val="2"/>
                <w:sz w:val="24"/>
                <w:szCs w:val="20"/>
                <w:highlight w:val="none"/>
                <w:lang w:val="en-US" w:eastAsia="zh-CN"/>
              </w:rPr>
            </w:pPr>
            <w:r>
              <w:rPr>
                <w:rFonts w:hint="eastAsia" w:ascii="宋体" w:hAnsi="宋体" w:eastAsia="宋体" w:cs="宋体"/>
                <w:b/>
                <w:color w:val="auto"/>
                <w:kern w:val="2"/>
                <w:sz w:val="24"/>
                <w:szCs w:val="20"/>
                <w:highlight w:val="none"/>
                <w:lang w:val="en-US" w:eastAsia="zh-CN"/>
              </w:rPr>
              <w:t>60</w:t>
            </w:r>
          </w:p>
        </w:tc>
      </w:tr>
      <w:tr w14:paraId="4F02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663" w:type="dxa"/>
            <w:vMerge w:val="restart"/>
            <w:tcMar>
              <w:top w:w="15" w:type="dxa"/>
              <w:left w:w="15" w:type="dxa"/>
              <w:bottom w:w="0" w:type="dxa"/>
              <w:right w:w="15" w:type="dxa"/>
            </w:tcMar>
            <w:vAlign w:val="center"/>
          </w:tcPr>
          <w:p w14:paraId="615FAD0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091" w:type="dxa"/>
            <w:vMerge w:val="restart"/>
            <w:tcMar>
              <w:top w:w="15" w:type="dxa"/>
              <w:left w:w="15" w:type="dxa"/>
              <w:bottom w:w="0" w:type="dxa"/>
              <w:right w:w="15" w:type="dxa"/>
            </w:tcMar>
            <w:vAlign w:val="center"/>
          </w:tcPr>
          <w:p w14:paraId="4848FA4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服务方案</w:t>
            </w:r>
          </w:p>
        </w:tc>
        <w:tc>
          <w:tcPr>
            <w:tcW w:w="6756" w:type="dxa"/>
            <w:shd w:val="clear" w:color="auto" w:fill="auto"/>
            <w:tcMar>
              <w:top w:w="15" w:type="dxa"/>
              <w:left w:w="15" w:type="dxa"/>
              <w:bottom w:w="0" w:type="dxa"/>
              <w:right w:w="15" w:type="dxa"/>
            </w:tcMar>
            <w:vAlign w:val="center"/>
          </w:tcPr>
          <w:p w14:paraId="55EC7ECE">
            <w:pPr>
              <w:keepNext w:val="0"/>
              <w:keepLines w:val="0"/>
              <w:pageBreakBefore w:val="0"/>
              <w:kinsoku/>
              <w:wordWrap/>
              <w:overflowPunct/>
              <w:topLinePunct w:val="0"/>
              <w:autoSpaceDE/>
              <w:autoSpaceDN/>
              <w:bidi w:val="0"/>
              <w:spacing w:line="360" w:lineRule="exact"/>
              <w:textAlignment w:val="auto"/>
              <w:rPr>
                <w:rFonts w:hint="eastAsia" w:ascii="宋体" w:hAnsi="宋体"/>
                <w:bCs/>
                <w:color w:val="auto"/>
                <w:highlight w:val="none"/>
              </w:rPr>
            </w:pPr>
            <w:r>
              <w:rPr>
                <w:rFonts w:hint="eastAsia" w:ascii="宋体" w:hAnsi="宋体"/>
                <w:bCs/>
                <w:color w:val="auto"/>
                <w:highlight w:val="none"/>
              </w:rPr>
              <w:t>项目实施方案：</w:t>
            </w:r>
          </w:p>
          <w:p w14:paraId="7BF99586">
            <w:pPr>
              <w:keepNext w:val="0"/>
              <w:keepLines w:val="0"/>
              <w:pageBreakBefore w:val="0"/>
              <w:kinsoku/>
              <w:wordWrap/>
              <w:overflowPunct/>
              <w:topLinePunct w:val="0"/>
              <w:autoSpaceDE/>
              <w:autoSpaceDN/>
              <w:bidi w:val="0"/>
              <w:spacing w:line="360" w:lineRule="exact"/>
              <w:textAlignment w:val="auto"/>
              <w:rPr>
                <w:rFonts w:hint="eastAsia" w:ascii="宋体" w:hAnsi="宋体"/>
                <w:bCs/>
                <w:color w:val="auto"/>
                <w:highlight w:val="none"/>
              </w:rPr>
            </w:pPr>
            <w:r>
              <w:rPr>
                <w:rFonts w:hint="eastAsia" w:ascii="宋体" w:hAnsi="宋体"/>
                <w:bCs/>
                <w:color w:val="auto"/>
                <w:highlight w:val="none"/>
              </w:rPr>
              <w:t>根据供应商提供的项目实施方案（包括但不限于对本项目的理解与认知、自身的技术优势、总体实施方案、针对审计工作的方案与人员安排等方面）进行综合打分：</w:t>
            </w:r>
          </w:p>
          <w:p w14:paraId="6946E25C">
            <w:pPr>
              <w:keepNext w:val="0"/>
              <w:keepLines w:val="0"/>
              <w:pageBreakBefore w:val="0"/>
              <w:kinsoku/>
              <w:wordWrap/>
              <w:overflowPunct/>
              <w:topLinePunct w:val="0"/>
              <w:autoSpaceDE/>
              <w:autoSpaceDN/>
              <w:bidi w:val="0"/>
              <w:spacing w:line="360" w:lineRule="exact"/>
              <w:textAlignment w:val="auto"/>
              <w:rPr>
                <w:rFonts w:hint="eastAsia" w:ascii="宋体" w:hAnsi="宋体"/>
                <w:bCs/>
                <w:color w:val="auto"/>
                <w:highlight w:val="none"/>
              </w:rPr>
            </w:pPr>
            <w:r>
              <w:rPr>
                <w:rFonts w:hint="eastAsia" w:ascii="宋体" w:hAnsi="宋体"/>
                <w:bCs/>
                <w:color w:val="auto"/>
                <w:highlight w:val="none"/>
              </w:rPr>
              <w:t>项目实施方案合理性强、可操作性强、完整性强的得15分；</w:t>
            </w:r>
          </w:p>
          <w:p w14:paraId="5B5A6D38">
            <w:pPr>
              <w:keepNext w:val="0"/>
              <w:keepLines w:val="0"/>
              <w:pageBreakBefore w:val="0"/>
              <w:kinsoku/>
              <w:wordWrap/>
              <w:overflowPunct/>
              <w:topLinePunct w:val="0"/>
              <w:autoSpaceDE/>
              <w:autoSpaceDN/>
              <w:bidi w:val="0"/>
              <w:spacing w:line="360" w:lineRule="exact"/>
              <w:textAlignment w:val="auto"/>
              <w:rPr>
                <w:rFonts w:hint="eastAsia" w:ascii="宋体" w:hAnsi="宋体"/>
                <w:bCs/>
                <w:color w:val="auto"/>
                <w:highlight w:val="none"/>
              </w:rPr>
            </w:pPr>
            <w:r>
              <w:rPr>
                <w:rFonts w:hint="eastAsia" w:ascii="宋体" w:hAnsi="宋体"/>
                <w:bCs/>
                <w:color w:val="auto"/>
                <w:highlight w:val="none"/>
              </w:rPr>
              <w:t>项目实施方案齐全、具有实际可操作性的得10分；</w:t>
            </w:r>
          </w:p>
          <w:p w14:paraId="139B22B4">
            <w:pPr>
              <w:keepNext w:val="0"/>
              <w:keepLines w:val="0"/>
              <w:pageBreakBefore w:val="0"/>
              <w:kinsoku/>
              <w:wordWrap/>
              <w:overflowPunct/>
              <w:topLinePunct w:val="0"/>
              <w:autoSpaceDE/>
              <w:autoSpaceDN/>
              <w:bidi w:val="0"/>
              <w:spacing w:line="360" w:lineRule="exact"/>
              <w:textAlignment w:val="auto"/>
              <w:rPr>
                <w:rFonts w:hint="eastAsia" w:ascii="宋体" w:hAnsi="宋体"/>
                <w:bCs/>
                <w:color w:val="auto"/>
                <w:highlight w:val="none"/>
              </w:rPr>
            </w:pPr>
            <w:r>
              <w:rPr>
                <w:rFonts w:hint="eastAsia" w:ascii="宋体" w:hAnsi="宋体"/>
                <w:bCs/>
                <w:color w:val="auto"/>
                <w:highlight w:val="none"/>
              </w:rPr>
              <w:t>项目实施方案有欠缺、条理不清晰的得5分；</w:t>
            </w:r>
          </w:p>
          <w:p w14:paraId="5CB9790B">
            <w:pPr>
              <w:keepNext w:val="0"/>
              <w:keepLines w:val="0"/>
              <w:pageBreakBefore w:val="0"/>
              <w:kinsoku/>
              <w:wordWrap/>
              <w:overflowPunct/>
              <w:topLinePunct w:val="0"/>
              <w:autoSpaceDE/>
              <w:autoSpaceDN/>
              <w:bidi w:val="0"/>
              <w:spacing w:line="360" w:lineRule="exact"/>
              <w:textAlignment w:val="auto"/>
              <w:rPr>
                <w:rFonts w:hint="eastAsia" w:ascii="宋体" w:hAnsi="宋体"/>
                <w:bCs/>
                <w:color w:val="auto"/>
                <w:highlight w:val="none"/>
              </w:rPr>
            </w:pPr>
            <w:r>
              <w:rPr>
                <w:rFonts w:hint="eastAsia" w:ascii="宋体" w:hAnsi="宋体"/>
                <w:bCs/>
                <w:color w:val="auto"/>
                <w:highlight w:val="none"/>
              </w:rPr>
              <w:t>未提供的不得分。</w:t>
            </w:r>
          </w:p>
        </w:tc>
        <w:tc>
          <w:tcPr>
            <w:tcW w:w="709" w:type="dxa"/>
            <w:tcMar>
              <w:top w:w="15" w:type="dxa"/>
              <w:left w:w="15" w:type="dxa"/>
              <w:bottom w:w="0" w:type="dxa"/>
              <w:right w:w="15" w:type="dxa"/>
            </w:tcMar>
            <w:vAlign w:val="center"/>
          </w:tcPr>
          <w:p w14:paraId="6C2A9600">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auto"/>
                <w:kern w:val="2"/>
                <w:sz w:val="24"/>
                <w:szCs w:val="20"/>
                <w:highlight w:val="none"/>
                <w:lang w:val="en-US" w:eastAsia="zh-CN"/>
              </w:rPr>
            </w:pPr>
            <w:r>
              <w:rPr>
                <w:rFonts w:hint="eastAsia" w:ascii="宋体" w:hAnsi="宋体" w:eastAsia="宋体" w:cs="宋体"/>
                <w:color w:val="auto"/>
                <w:kern w:val="2"/>
                <w:sz w:val="24"/>
                <w:szCs w:val="20"/>
                <w:highlight w:val="none"/>
                <w:lang w:val="en-US" w:eastAsia="zh-CN"/>
              </w:rPr>
              <w:t>15</w:t>
            </w:r>
          </w:p>
        </w:tc>
      </w:tr>
      <w:tr w14:paraId="129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663" w:type="dxa"/>
            <w:vMerge w:val="continue"/>
            <w:tcMar>
              <w:top w:w="15" w:type="dxa"/>
              <w:left w:w="15" w:type="dxa"/>
              <w:bottom w:w="0" w:type="dxa"/>
              <w:right w:w="15" w:type="dxa"/>
            </w:tcMar>
            <w:vAlign w:val="center"/>
          </w:tcPr>
          <w:p w14:paraId="04668D5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highlight w:val="none"/>
              </w:rPr>
            </w:pPr>
          </w:p>
        </w:tc>
        <w:tc>
          <w:tcPr>
            <w:tcW w:w="1091" w:type="dxa"/>
            <w:vMerge w:val="continue"/>
            <w:tcMar>
              <w:top w:w="15" w:type="dxa"/>
              <w:left w:w="15" w:type="dxa"/>
              <w:bottom w:w="0" w:type="dxa"/>
              <w:right w:w="15" w:type="dxa"/>
            </w:tcMar>
            <w:vAlign w:val="center"/>
          </w:tcPr>
          <w:p w14:paraId="7FC8E02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highlight w:val="none"/>
              </w:rPr>
            </w:pPr>
          </w:p>
        </w:tc>
        <w:tc>
          <w:tcPr>
            <w:tcW w:w="6756" w:type="dxa"/>
            <w:shd w:val="clear" w:color="auto" w:fill="auto"/>
            <w:tcMar>
              <w:top w:w="15" w:type="dxa"/>
              <w:left w:w="15" w:type="dxa"/>
              <w:bottom w:w="0" w:type="dxa"/>
              <w:right w:w="15" w:type="dxa"/>
            </w:tcMar>
            <w:vAlign w:val="center"/>
          </w:tcPr>
          <w:p w14:paraId="7EBE409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重点、难点分析、风险评估及应对措施：</w:t>
            </w:r>
          </w:p>
          <w:p w14:paraId="13183C0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根据供应商提供的重点、难点分析、风险评估及应对措施进行综合打分：</w:t>
            </w:r>
          </w:p>
          <w:p w14:paraId="617334A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重点、难点分析及应对措施合理性强、可操作性强、完整性强的得15分；</w:t>
            </w:r>
          </w:p>
          <w:p w14:paraId="1B883C2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重点、难点分析及应对措施齐全、具有实际可操作性的得10分；</w:t>
            </w:r>
          </w:p>
          <w:p w14:paraId="4C2C574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重点、难点分析及应对措施有欠缺、条理不清晰的得5分；</w:t>
            </w:r>
          </w:p>
          <w:p w14:paraId="791AA222">
            <w:pPr>
              <w:keepNext w:val="0"/>
              <w:keepLines w:val="0"/>
              <w:pageBreakBefore w:val="0"/>
              <w:kinsoku/>
              <w:wordWrap/>
              <w:overflowPunct/>
              <w:topLinePunct w:val="0"/>
              <w:autoSpaceDE/>
              <w:autoSpaceDN/>
              <w:bidi w:val="0"/>
              <w:spacing w:line="360" w:lineRule="exact"/>
              <w:textAlignment w:val="auto"/>
              <w:rPr>
                <w:rFonts w:hint="eastAsia"/>
                <w:color w:val="auto"/>
                <w:highlight w:val="none"/>
              </w:rPr>
            </w:pPr>
            <w:r>
              <w:rPr>
                <w:rFonts w:hint="eastAsia" w:ascii="宋体" w:hAnsi="宋体" w:cs="宋体"/>
                <w:szCs w:val="21"/>
                <w:highlight w:val="none"/>
              </w:rPr>
              <w:t>未提供的不得分。</w:t>
            </w:r>
          </w:p>
        </w:tc>
        <w:tc>
          <w:tcPr>
            <w:tcW w:w="709" w:type="dxa"/>
            <w:tcMar>
              <w:top w:w="15" w:type="dxa"/>
              <w:left w:w="15" w:type="dxa"/>
              <w:bottom w:w="0" w:type="dxa"/>
              <w:right w:w="15" w:type="dxa"/>
            </w:tcMar>
            <w:vAlign w:val="center"/>
          </w:tcPr>
          <w:p w14:paraId="7547A414">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15</w:t>
            </w:r>
          </w:p>
        </w:tc>
      </w:tr>
      <w:tr w14:paraId="567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663" w:type="dxa"/>
            <w:vMerge w:val="continue"/>
            <w:tcMar>
              <w:top w:w="15" w:type="dxa"/>
              <w:left w:w="15" w:type="dxa"/>
              <w:bottom w:w="0" w:type="dxa"/>
              <w:right w:w="15" w:type="dxa"/>
            </w:tcMar>
            <w:vAlign w:val="center"/>
          </w:tcPr>
          <w:p w14:paraId="726200C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Cs w:val="21"/>
                <w:highlight w:val="none"/>
              </w:rPr>
            </w:pPr>
          </w:p>
        </w:tc>
        <w:tc>
          <w:tcPr>
            <w:tcW w:w="1091" w:type="dxa"/>
            <w:vMerge w:val="continue"/>
            <w:tcMar>
              <w:top w:w="15" w:type="dxa"/>
              <w:left w:w="15" w:type="dxa"/>
              <w:bottom w:w="0" w:type="dxa"/>
              <w:right w:w="15" w:type="dxa"/>
            </w:tcMar>
            <w:vAlign w:val="center"/>
          </w:tcPr>
          <w:p w14:paraId="5673FF9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Cs w:val="21"/>
                <w:highlight w:val="none"/>
              </w:rPr>
            </w:pPr>
          </w:p>
        </w:tc>
        <w:tc>
          <w:tcPr>
            <w:tcW w:w="6756" w:type="dxa"/>
            <w:shd w:val="clear" w:color="auto" w:fill="auto"/>
            <w:tcMar>
              <w:top w:w="15" w:type="dxa"/>
              <w:left w:w="15" w:type="dxa"/>
              <w:bottom w:w="0" w:type="dxa"/>
              <w:right w:w="15" w:type="dxa"/>
            </w:tcMar>
            <w:vAlign w:val="center"/>
          </w:tcPr>
          <w:p w14:paraId="361B88B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结算审计保障措施、进度时间安排计划、廉政保密制度：</w:t>
            </w:r>
          </w:p>
          <w:p w14:paraId="0EB84D6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根据供应商提供的结算审计保障措施、进度时间安排计划、廉政保密制度（包括但不限于审计保障措施、进度时间安排、工作任务分配、人员分工、制度等方面）进行综合打分：</w:t>
            </w:r>
          </w:p>
          <w:p w14:paraId="06F2D28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保障措施、进度时间安排计划、制度合理性强、可操作性强、完整性强的得1</w:t>
            </w:r>
            <w:r>
              <w:rPr>
                <w:rFonts w:hint="eastAsia" w:ascii="宋体" w:hAnsi="宋体" w:cs="宋体"/>
                <w:szCs w:val="21"/>
                <w:highlight w:val="none"/>
                <w:lang w:val="en-US" w:eastAsia="zh-CN"/>
              </w:rPr>
              <w:t>5</w:t>
            </w:r>
            <w:r>
              <w:rPr>
                <w:rFonts w:hint="eastAsia" w:ascii="宋体" w:hAnsi="宋体" w:cs="宋体"/>
                <w:szCs w:val="21"/>
                <w:highlight w:val="none"/>
              </w:rPr>
              <w:t>分；</w:t>
            </w:r>
          </w:p>
          <w:p w14:paraId="4121D26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保障措施、进度时间安排计划、制度齐全、具有实际可操作性的得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72EB2B9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保障措施、进度时间安排计划、制度有欠缺、条理不清晰的得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527CEC14">
            <w:pPr>
              <w:keepNext w:val="0"/>
              <w:keepLines w:val="0"/>
              <w:pageBreakBefore w:val="0"/>
              <w:kinsoku/>
              <w:wordWrap/>
              <w:overflowPunct/>
              <w:topLinePunct w:val="0"/>
              <w:autoSpaceDE/>
              <w:autoSpaceDN/>
              <w:bidi w:val="0"/>
              <w:spacing w:line="360" w:lineRule="exact"/>
              <w:textAlignment w:val="auto"/>
              <w:rPr>
                <w:rFonts w:hint="eastAsia" w:ascii="宋体" w:hAnsi="宋体"/>
                <w:bCs/>
                <w:color w:val="auto"/>
                <w:highlight w:val="none"/>
              </w:rPr>
            </w:pPr>
            <w:r>
              <w:rPr>
                <w:rFonts w:hint="eastAsia" w:ascii="宋体" w:hAnsi="宋体" w:cs="宋体"/>
                <w:szCs w:val="21"/>
                <w:highlight w:val="none"/>
              </w:rPr>
              <w:t>未提供的不得分。</w:t>
            </w:r>
          </w:p>
        </w:tc>
        <w:tc>
          <w:tcPr>
            <w:tcW w:w="709" w:type="dxa"/>
            <w:tcMar>
              <w:top w:w="15" w:type="dxa"/>
              <w:left w:w="15" w:type="dxa"/>
              <w:bottom w:w="0" w:type="dxa"/>
              <w:right w:w="15" w:type="dxa"/>
            </w:tcMar>
            <w:vAlign w:val="center"/>
          </w:tcPr>
          <w:p w14:paraId="44DA9180">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15</w:t>
            </w:r>
          </w:p>
        </w:tc>
      </w:tr>
      <w:tr w14:paraId="67FA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663" w:type="dxa"/>
            <w:vMerge w:val="continue"/>
            <w:tcMar>
              <w:top w:w="15" w:type="dxa"/>
              <w:left w:w="15" w:type="dxa"/>
              <w:bottom w:w="0" w:type="dxa"/>
              <w:right w:w="15" w:type="dxa"/>
            </w:tcMar>
            <w:vAlign w:val="center"/>
          </w:tcPr>
          <w:p w14:paraId="29FDBEF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Cs w:val="21"/>
                <w:highlight w:val="none"/>
                <w:lang w:val="en-US" w:eastAsia="zh-CN"/>
              </w:rPr>
            </w:pPr>
          </w:p>
        </w:tc>
        <w:tc>
          <w:tcPr>
            <w:tcW w:w="1091" w:type="dxa"/>
            <w:vMerge w:val="continue"/>
            <w:tcMar>
              <w:top w:w="15" w:type="dxa"/>
              <w:left w:w="15" w:type="dxa"/>
              <w:bottom w:w="0" w:type="dxa"/>
              <w:right w:w="15" w:type="dxa"/>
            </w:tcMar>
            <w:vAlign w:val="center"/>
          </w:tcPr>
          <w:p w14:paraId="60D4FEF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Cs w:val="21"/>
                <w:highlight w:val="none"/>
              </w:rPr>
            </w:pPr>
          </w:p>
        </w:tc>
        <w:tc>
          <w:tcPr>
            <w:tcW w:w="6756" w:type="dxa"/>
            <w:shd w:val="clear" w:color="auto" w:fill="auto"/>
            <w:tcMar>
              <w:top w:w="15" w:type="dxa"/>
              <w:left w:w="15" w:type="dxa"/>
              <w:bottom w:w="0" w:type="dxa"/>
              <w:right w:w="15" w:type="dxa"/>
            </w:tcMar>
            <w:vAlign w:val="center"/>
          </w:tcPr>
          <w:p w14:paraId="30BCDD3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审计要点及质量控制措施：</w:t>
            </w:r>
          </w:p>
          <w:p w14:paraId="5A82C5F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根据供应商提供的质量控制（包括但不限于报告质量保障、三级以上复核机制及复核制度流程、审核争议问题处理程序及措施等方面）进行综合打分：</w:t>
            </w:r>
          </w:p>
          <w:p w14:paraId="0599F85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质量保障措施合理性强、可操作性强、完整性强的得1</w:t>
            </w:r>
            <w:r>
              <w:rPr>
                <w:rFonts w:hint="eastAsia" w:ascii="宋体" w:hAnsi="宋体" w:cs="宋体"/>
                <w:szCs w:val="21"/>
                <w:highlight w:val="none"/>
                <w:lang w:val="en-US" w:eastAsia="zh-CN"/>
              </w:rPr>
              <w:t>5</w:t>
            </w:r>
            <w:r>
              <w:rPr>
                <w:rFonts w:hint="eastAsia" w:ascii="宋体" w:hAnsi="宋体" w:cs="宋体"/>
                <w:szCs w:val="21"/>
                <w:highlight w:val="none"/>
              </w:rPr>
              <w:t>分；</w:t>
            </w:r>
          </w:p>
          <w:p w14:paraId="564AC7D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质量保障措施齐全、具有实际可操作性的得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723164A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质量保障措施有欠缺、条理不清晰的得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045694FF">
            <w:pPr>
              <w:keepNext w:val="0"/>
              <w:keepLines w:val="0"/>
              <w:pageBreakBefore w:val="0"/>
              <w:kinsoku/>
              <w:wordWrap/>
              <w:overflowPunct/>
              <w:topLinePunct w:val="0"/>
              <w:autoSpaceDE/>
              <w:autoSpaceDN/>
              <w:bidi w:val="0"/>
              <w:spacing w:line="360" w:lineRule="exact"/>
              <w:textAlignment w:val="auto"/>
              <w:rPr>
                <w:rFonts w:hint="eastAsia" w:ascii="宋体" w:hAnsi="宋体"/>
                <w:bCs/>
                <w:color w:val="auto"/>
                <w:highlight w:val="none"/>
              </w:rPr>
            </w:pPr>
            <w:r>
              <w:rPr>
                <w:rFonts w:hint="eastAsia" w:ascii="宋体" w:hAnsi="宋体" w:cs="宋体"/>
                <w:szCs w:val="21"/>
                <w:highlight w:val="none"/>
              </w:rPr>
              <w:t>未提供的不得分。</w:t>
            </w:r>
          </w:p>
        </w:tc>
        <w:tc>
          <w:tcPr>
            <w:tcW w:w="709" w:type="dxa"/>
            <w:tcMar>
              <w:top w:w="15" w:type="dxa"/>
              <w:left w:w="15" w:type="dxa"/>
              <w:bottom w:w="0" w:type="dxa"/>
              <w:right w:w="15" w:type="dxa"/>
            </w:tcMar>
            <w:vAlign w:val="center"/>
          </w:tcPr>
          <w:p w14:paraId="416E873D">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15</w:t>
            </w:r>
          </w:p>
        </w:tc>
      </w:tr>
    </w:tbl>
    <w:p w14:paraId="20D1A8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749"/>
    <w:rsid w:val="000549D1"/>
    <w:rsid w:val="000A667C"/>
    <w:rsid w:val="000D1628"/>
    <w:rsid w:val="00392208"/>
    <w:rsid w:val="0060115F"/>
    <w:rsid w:val="0066226B"/>
    <w:rsid w:val="00752102"/>
    <w:rsid w:val="00772749"/>
    <w:rsid w:val="007F32D5"/>
    <w:rsid w:val="00A36524"/>
    <w:rsid w:val="00BB5810"/>
    <w:rsid w:val="00ED5509"/>
    <w:rsid w:val="00F40DD1"/>
    <w:rsid w:val="00FF5CED"/>
    <w:rsid w:val="0BAA664A"/>
    <w:rsid w:val="0DE93E42"/>
    <w:rsid w:val="113F7936"/>
    <w:rsid w:val="34E942B3"/>
    <w:rsid w:val="36F77EB7"/>
    <w:rsid w:val="590523A1"/>
    <w:rsid w:val="6B34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0"/>
    <w:pPr>
      <w:spacing w:after="120"/>
    </w:pPr>
  </w:style>
  <w:style w:type="paragraph" w:styleId="3">
    <w:name w:val="Body Text Indent"/>
    <w:basedOn w:val="1"/>
    <w:next w:val="1"/>
    <w:qFormat/>
    <w:uiPriority w:val="99"/>
    <w:pPr>
      <w:spacing w:after="120"/>
      <w:ind w:left="420" w:leftChars="200"/>
    </w:pPr>
    <w:rPr>
      <w:rFonts w:ascii="楷体_GB2312" w:eastAsia="楷体_GB2312"/>
      <w:sz w:val="32"/>
    </w:rPr>
  </w:style>
  <w:style w:type="paragraph" w:styleId="4">
    <w:name w:val="Body Text First Indent"/>
    <w:basedOn w:val="2"/>
    <w:qFormat/>
    <w:uiPriority w:val="0"/>
    <w:pPr>
      <w:tabs>
        <w:tab w:val="left" w:pos="2020"/>
        <w:tab w:val="center" w:pos="4535"/>
      </w:tabs>
      <w:ind w:firstLine="420" w:firstLineChars="100"/>
    </w:pPr>
  </w:style>
  <w:style w:type="paragraph" w:styleId="5">
    <w:name w:val="Body Text First Indent 2"/>
    <w:basedOn w:val="3"/>
    <w:qFormat/>
    <w:uiPriority w:val="99"/>
    <w:pPr>
      <w:spacing w:after="0" w:line="360" w:lineRule="auto"/>
      <w:ind w:left="0" w:leftChars="0" w:firstLine="420" w:firstLineChars="200"/>
    </w:pPr>
    <w:rPr>
      <w:rFonts w:ascii="宋体" w:hAnsi="宋体" w:eastAsia="宋体"/>
      <w:kern w:val="0"/>
      <w:sz w:val="20"/>
    </w:rPr>
  </w:style>
  <w:style w:type="character" w:customStyle="1" w:styleId="8">
    <w:name w:val="正文文本 Char"/>
    <w:basedOn w:val="7"/>
    <w:link w:val="2"/>
    <w:qFormat/>
    <w:uiPriority w:val="0"/>
    <w:rPr>
      <w:rFonts w:ascii="Times New Roman" w:hAnsi="Times New Roman" w:eastAsia="宋体" w:cs="Times New Roman"/>
      <w:szCs w:val="24"/>
    </w:rPr>
  </w:style>
  <w:style w:type="paragraph" w:customStyle="1" w:styleId="9">
    <w:name w:val="Table Paragraph"/>
    <w:basedOn w:val="1"/>
    <w:qFormat/>
    <w:uiPriority w:val="1"/>
    <w:pPr>
      <w:jc w:val="left"/>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1013</Words>
  <Characters>1092</Characters>
  <Lines>2</Lines>
  <Paragraphs>1</Paragraphs>
  <TotalTime>1</TotalTime>
  <ScaleCrop>false</ScaleCrop>
  <LinksUpToDate>false</LinksUpToDate>
  <CharactersWithSpaces>1131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2025-06-06T02:04:00Z</dcterms:created>
  <dc:creator>911624</dc:creator>
  <cp:lastModifiedBy>王金</cp:lastModifiedBy>
  <dcterms:modified xsi:type="dcterms:W3CDTF">2026-01-21T02:15:14Z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eyJoZGlkIjoiMGQ2MDYxZmViMTIyNzUxMjQwMGZkMWY3ZGU2NWUwNTYiLCJ1c2VySWQiOiIxNDQ3NzQ2OTY5In0=</vt:lpwstr>
  </property>
  <property fmtid="{D5CDD505-2E9C-101B-9397-08002B2CF9AE}" pid="3" name="KSOProductBuildVer">
    <vt:lpwstr>2052-12.1.0.24657</vt:lpwstr>
  </property>
  <property fmtid="{D5CDD505-2E9C-101B-9397-08002B2CF9AE}" pid="4" name="ICV">
    <vt:lpwstr>E1ACCE6952254B7A814C7B74D49757DD_12</vt:lpwstr>
  </property>
</Properties>
</file>