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472"/>
        <w:tblOverlap w:val="never"/>
        <w:tblW w:w="55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18"/>
        <w:gridCol w:w="6595"/>
      </w:tblGrid>
      <w:tr w14:paraId="7519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pct"/>
            <w:vAlign w:val="center"/>
          </w:tcPr>
          <w:p w14:paraId="2F06D4DE">
            <w:pPr>
              <w:spacing w:line="360" w:lineRule="auto"/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项目</w:t>
            </w:r>
          </w:p>
        </w:tc>
        <w:tc>
          <w:tcPr>
            <w:tcW w:w="806" w:type="pct"/>
            <w:vAlign w:val="center"/>
          </w:tcPr>
          <w:p w14:paraId="5C400C3E">
            <w:pPr>
              <w:spacing w:line="360" w:lineRule="auto"/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评审分项</w:t>
            </w:r>
          </w:p>
        </w:tc>
        <w:tc>
          <w:tcPr>
            <w:tcW w:w="3502" w:type="pct"/>
            <w:vAlign w:val="center"/>
          </w:tcPr>
          <w:p w14:paraId="053398A2">
            <w:pPr>
              <w:spacing w:line="360" w:lineRule="auto"/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sz w:val="24"/>
                <w:szCs w:val="24"/>
              </w:rPr>
              <w:t>评审内容及分值</w:t>
            </w:r>
          </w:p>
        </w:tc>
      </w:tr>
      <w:tr w14:paraId="28E8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90" w:type="pct"/>
            <w:vAlign w:val="center"/>
          </w:tcPr>
          <w:p w14:paraId="7660FEAD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投标报价</w:t>
            </w:r>
          </w:p>
          <w:p w14:paraId="39A2FDFA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（1</w:t>
            </w:r>
            <w:r>
              <w:rPr>
                <w:rFonts w:ascii="宋体" w:hAnsi="宋体" w:cs="仿宋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806" w:type="pct"/>
            <w:vAlign w:val="center"/>
          </w:tcPr>
          <w:p w14:paraId="3CD024C0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3502" w:type="pct"/>
            <w:vAlign w:val="center"/>
          </w:tcPr>
          <w:p w14:paraId="5BD6D841">
            <w:pPr>
              <w:widowControl/>
              <w:spacing w:line="360" w:lineRule="auto"/>
              <w:jc w:val="left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采用低价优先法计算，即满足招标文件要求且投标价格最低的投标报价为评 标基准价，其价格分为满分。其他投标人的价格分统一按照下列公式计算：投标报价得分=(评标基准价/投标报价)x1</w:t>
            </w:r>
            <w:r>
              <w:rPr>
                <w:rFonts w:ascii="宋体" w:hAnsi="宋体" w:cs="仿宋"/>
                <w:sz w:val="24"/>
                <w:szCs w:val="24"/>
              </w:rPr>
              <w:t>0</w:t>
            </w:r>
            <w:r>
              <w:rPr>
                <w:rFonts w:hint="eastAsia" w:ascii="宋体" w:hAnsi="宋体" w:cs="仿宋"/>
                <w:sz w:val="24"/>
                <w:szCs w:val="24"/>
              </w:rPr>
              <w:t>分。（该结果四舍五入，保留两 位小数）</w:t>
            </w:r>
          </w:p>
        </w:tc>
      </w:tr>
      <w:tr w14:paraId="79FA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90" w:type="pct"/>
            <w:vAlign w:val="center"/>
          </w:tcPr>
          <w:p w14:paraId="61CD56D5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商务部分</w:t>
            </w:r>
          </w:p>
          <w:p w14:paraId="1F0A5643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（</w:t>
            </w:r>
            <w:r>
              <w:rPr>
                <w:rFonts w:ascii="宋体" w:hAnsi="宋体" w:cs="仿宋"/>
                <w:sz w:val="24"/>
                <w:szCs w:val="24"/>
              </w:rPr>
              <w:t>4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sz w:val="24"/>
                <w:szCs w:val="24"/>
              </w:rPr>
              <w:t>分）</w:t>
            </w:r>
          </w:p>
        </w:tc>
        <w:tc>
          <w:tcPr>
            <w:tcW w:w="806" w:type="pct"/>
            <w:vAlign w:val="center"/>
          </w:tcPr>
          <w:p w14:paraId="09377A1F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业绩</w:t>
            </w:r>
          </w:p>
          <w:p w14:paraId="6357C3EC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</w:p>
        </w:tc>
        <w:tc>
          <w:tcPr>
            <w:tcW w:w="3502" w:type="pct"/>
            <w:vAlign w:val="center"/>
          </w:tcPr>
          <w:p w14:paraId="60784D9E">
            <w:pPr>
              <w:spacing w:line="360" w:lineRule="auto"/>
              <w:contextualSpacing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1.投标人自202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年1月1日以来</w:t>
            </w:r>
            <w:r>
              <w:rPr>
                <w:rFonts w:hint="eastAsia" w:ascii="宋体" w:hAnsi="宋体"/>
                <w:sz w:val="24"/>
              </w:rPr>
              <w:t>（以合同签订时间为准）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承担过类似业绩的，每提供一个得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分，本项最高得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</w:tr>
      <w:tr w14:paraId="56C3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690" w:type="pct"/>
            <w:vMerge w:val="restart"/>
            <w:vAlign w:val="center"/>
          </w:tcPr>
          <w:p w14:paraId="7BE8A77F"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技术方案</w:t>
            </w:r>
          </w:p>
          <w:p w14:paraId="5E7A41D2">
            <w:pPr>
              <w:widowControl/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</w:p>
          <w:p w14:paraId="5EC2FC01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4309" w:type="pct"/>
            <w:gridSpan w:val="2"/>
            <w:vAlign w:val="center"/>
          </w:tcPr>
          <w:p w14:paraId="0F553918">
            <w:pPr>
              <w:widowControl/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评委根据供应商对本项目服务质量的保证措施进行评分，保证措施有针对性且可行性强得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分；保证措施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有针对性且可行性较强得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分；保证措施一般且可行性一般得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分；保证措施基本有针对性且基本可行得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分；保证措施针对性较差且可行性得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没有不得分。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。（不提供不得分）</w:t>
            </w:r>
          </w:p>
        </w:tc>
      </w:tr>
      <w:tr w14:paraId="099C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90" w:type="pct"/>
            <w:vMerge w:val="continue"/>
            <w:vAlign w:val="center"/>
          </w:tcPr>
          <w:p w14:paraId="38FB9A0C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4309" w:type="pct"/>
            <w:gridSpan w:val="2"/>
            <w:vAlign w:val="center"/>
          </w:tcPr>
          <w:p w14:paraId="70BF26C8">
            <w:pPr>
              <w:widowControl/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评委根据供应商对本项目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进度计划进行评分，进度计划有针对性且可行性强得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分；进度计划较有针对性且可行性较强得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分；进度计划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针对性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一般且可行性一般得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分；进度计划基本有针对性且基本可行得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分；进度计划针对性较差且可行性得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没有不得分。</w:t>
            </w:r>
          </w:p>
        </w:tc>
      </w:tr>
      <w:tr w14:paraId="766E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90" w:type="pct"/>
            <w:vMerge w:val="continue"/>
            <w:vAlign w:val="center"/>
          </w:tcPr>
          <w:p w14:paraId="0FA35691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4309" w:type="pct"/>
            <w:gridSpan w:val="2"/>
            <w:vAlign w:val="center"/>
          </w:tcPr>
          <w:p w14:paraId="4BA8ABBC">
            <w:pPr>
              <w:widowControl/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评委根据供应商对本项目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服务承诺进行评分，服务承诺有针对性且可行性强得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分；服务承诺较有针对性且可行性较强得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分；服务承诺一般且可行性一般得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分；服务承诺基本有针对性且基本可行得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分；服务承诺针对性较差且可行性得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没有不得分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 w14:paraId="4BEB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90" w:type="pct"/>
            <w:vMerge w:val="continue"/>
            <w:vAlign w:val="center"/>
          </w:tcPr>
          <w:p w14:paraId="5481FED2">
            <w:pPr>
              <w:widowControl/>
              <w:spacing w:line="360" w:lineRule="auto"/>
              <w:jc w:val="center"/>
              <w:rPr>
                <w:rFonts w:ascii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4309" w:type="pct"/>
            <w:gridSpan w:val="2"/>
            <w:vAlign w:val="center"/>
          </w:tcPr>
          <w:p w14:paraId="5769D967">
            <w:pPr>
              <w:widowControl/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评委根据供应商对本项目提供的设备专业性进行评分，设备配置全面、专业，能有效保障项目实施得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分；设备配置较为全面、较为专业，较能保障项目实施得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分；设置配置一般，保障项目实施一般得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没有不得分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 w14:paraId="4271FD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7AEA20"/>
    <w:rsid w:val="3F4B04ED"/>
    <w:rsid w:val="7EFE224E"/>
    <w:rsid w:val="EE7AE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80" w:firstLineChars="200"/>
    </w:pPr>
  </w:style>
  <w:style w:type="paragraph" w:styleId="3">
    <w:name w:val="Body Text"/>
    <w:basedOn w:val="1"/>
    <w:qFormat/>
    <w:uiPriority w:val="0"/>
    <w:pPr>
      <w:jc w:val="left"/>
    </w:pPr>
    <w:rPr>
      <w:rFonts w:asciiTheme="minorEastAsia" w:hAnsiTheme="minorEastAsia" w:eastAsiaTheme="minorEastAsia"/>
      <w:kern w:val="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479</Characters>
  <Lines>0</Lines>
  <Paragraphs>0</Paragraphs>
  <TotalTime>9</TotalTime>
  <ScaleCrop>false</ScaleCrop>
  <LinksUpToDate>false</LinksUpToDate>
  <CharactersWithSpaces>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2026-01-07T11:43:00Z</dcterms:created>
  <dc:creator>琳小苏</dc:creator>
  <cp:lastModifiedBy>王金</cp:lastModifiedBy>
  <dcterms:modified xsi:type="dcterms:W3CDTF">2026-01-14T07:09:52Z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415138EA609D45F8B538AAAA04D6E150_13</vt:lpwstr>
  </property>
  <property fmtid="{D5CDD505-2E9C-101B-9397-08002B2CF9AE}" pid="4" name="KSOTemplateDocerSaveRecord">
    <vt:lpwstr>eyJoZGlkIjoiMWUyY2RkZmRiZGQwNzQ3NDNiMjFlNDEwZTQ4NTUwNzMiLCJ1c2VySWQiOiIxNDQ3NzQ2OTY5In0=</vt:lpwstr>
  </property>
</Properties>
</file>