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06" w:tblpY="675"/>
        <w:tblOverlap w:val="never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68"/>
        <w:gridCol w:w="6957"/>
        <w:gridCol w:w="871"/>
      </w:tblGrid>
      <w:tr w14:paraId="104E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01" w:type="dxa"/>
            <w:vAlign w:val="center"/>
          </w:tcPr>
          <w:p w14:paraId="70301E32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8" w:type="dxa"/>
            <w:vAlign w:val="center"/>
          </w:tcPr>
          <w:p w14:paraId="010349C5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6957" w:type="dxa"/>
            <w:vAlign w:val="center"/>
          </w:tcPr>
          <w:p w14:paraId="7631C9BA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871" w:type="dxa"/>
            <w:vAlign w:val="center"/>
          </w:tcPr>
          <w:p w14:paraId="6F14E97E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4DFD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01" w:type="dxa"/>
            <w:vAlign w:val="center"/>
          </w:tcPr>
          <w:p w14:paraId="2CEB159B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8" w:type="dxa"/>
            <w:vAlign w:val="center"/>
          </w:tcPr>
          <w:p w14:paraId="51A8B34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  <w:p w14:paraId="4FF267B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957" w:type="dxa"/>
            <w:vAlign w:val="center"/>
          </w:tcPr>
          <w:p w14:paraId="21817E72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采用低价优先法计算，即满足采购文件要求且价格最低的报价为评审基准价，其价格分为满分。其他供应商的价格分统一按照下列公式计算：报价得分=（评审基准价/报价）×10（小数点保留2位）</w:t>
            </w:r>
          </w:p>
        </w:tc>
        <w:tc>
          <w:tcPr>
            <w:tcW w:w="871" w:type="dxa"/>
            <w:vAlign w:val="center"/>
          </w:tcPr>
          <w:p w14:paraId="7FDCA04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159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01" w:type="dxa"/>
            <w:vMerge w:val="restart"/>
            <w:vAlign w:val="center"/>
          </w:tcPr>
          <w:p w14:paraId="0A093A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8" w:type="dxa"/>
            <w:vMerge w:val="restart"/>
            <w:vAlign w:val="center"/>
          </w:tcPr>
          <w:p w14:paraId="183894D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  <w:p w14:paraId="4DB2B43A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957" w:type="dxa"/>
            <w:vAlign w:val="center"/>
          </w:tcPr>
          <w:p w14:paraId="39C42239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工程概况；表述得当得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分，基本准确得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分，其它得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分，缺少相应内容不得分。</w:t>
            </w:r>
          </w:p>
        </w:tc>
        <w:tc>
          <w:tcPr>
            <w:tcW w:w="871" w:type="dxa"/>
            <w:vAlign w:val="center"/>
          </w:tcPr>
          <w:p w14:paraId="3461A7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3858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vAlign w:val="center"/>
          </w:tcPr>
          <w:p w14:paraId="0F29E0C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54A1E54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721A8F58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质量控制方案；方案得当得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分，基本准确得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分，其它得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分，缺少相应内容不得分。</w:t>
            </w:r>
          </w:p>
        </w:tc>
        <w:tc>
          <w:tcPr>
            <w:tcW w:w="871" w:type="dxa"/>
            <w:vAlign w:val="center"/>
          </w:tcPr>
          <w:p w14:paraId="7FFA17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BDF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01" w:type="dxa"/>
            <w:vMerge w:val="continue"/>
            <w:vAlign w:val="center"/>
          </w:tcPr>
          <w:p w14:paraId="2B0657D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2D6574C8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1268D086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进度控制方案；方案得当得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分，基本准确得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分，其它得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分，缺少相应内容不得分。</w:t>
            </w:r>
          </w:p>
        </w:tc>
        <w:tc>
          <w:tcPr>
            <w:tcW w:w="871" w:type="dxa"/>
            <w:vAlign w:val="center"/>
          </w:tcPr>
          <w:p w14:paraId="5A1467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89B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1" w:type="dxa"/>
            <w:vMerge w:val="continue"/>
            <w:vAlign w:val="center"/>
          </w:tcPr>
          <w:p w14:paraId="2A37BF6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37B7AEC3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619B917B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投资控制方案；方案得当得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分，基本准确得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分，其它得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分，缺少相应内容不得分。</w:t>
            </w:r>
          </w:p>
        </w:tc>
        <w:tc>
          <w:tcPr>
            <w:tcW w:w="871" w:type="dxa"/>
            <w:vAlign w:val="center"/>
          </w:tcPr>
          <w:p w14:paraId="2829046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4C2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1" w:type="dxa"/>
            <w:vMerge w:val="continue"/>
            <w:vAlign w:val="center"/>
          </w:tcPr>
          <w:p w14:paraId="20F7915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548F0F91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630F4111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安全控制方案：方案得当得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分，基本准确得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分，其它得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分，缺少相应内容不得分。</w:t>
            </w:r>
          </w:p>
        </w:tc>
        <w:tc>
          <w:tcPr>
            <w:tcW w:w="871" w:type="dxa"/>
            <w:vAlign w:val="center"/>
          </w:tcPr>
          <w:p w14:paraId="5B4017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BD1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1" w:type="dxa"/>
            <w:vMerge w:val="continue"/>
            <w:vAlign w:val="center"/>
          </w:tcPr>
          <w:p w14:paraId="0B9A2B0A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09ABDF6A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42F5D5D5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合同管理方案；方案得当得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分，基本准确得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分，其它得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分，缺少相应内容不得分。</w:t>
            </w:r>
          </w:p>
        </w:tc>
        <w:tc>
          <w:tcPr>
            <w:tcW w:w="871" w:type="dxa"/>
            <w:vAlign w:val="center"/>
          </w:tcPr>
          <w:p w14:paraId="161539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C6A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1" w:type="dxa"/>
            <w:vMerge w:val="continue"/>
            <w:vAlign w:val="center"/>
          </w:tcPr>
          <w:p w14:paraId="47493DD0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68B6246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1B4463CE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信息管理方案；方案得当得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分，基本准确得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分，其它得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分，缺少相应内容不得分。</w:t>
            </w:r>
          </w:p>
        </w:tc>
        <w:tc>
          <w:tcPr>
            <w:tcW w:w="871" w:type="dxa"/>
            <w:vAlign w:val="center"/>
          </w:tcPr>
          <w:p w14:paraId="612E23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FDF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1" w:type="dxa"/>
            <w:vMerge w:val="continue"/>
            <w:vAlign w:val="center"/>
          </w:tcPr>
          <w:p w14:paraId="2D18BCE8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2999E69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3BC68F92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组织协调方案；方案得当得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分，基本准确得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分，其它得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分，缺少相应内容不得分。</w:t>
            </w:r>
          </w:p>
        </w:tc>
        <w:tc>
          <w:tcPr>
            <w:tcW w:w="871" w:type="dxa"/>
            <w:vAlign w:val="center"/>
          </w:tcPr>
          <w:p w14:paraId="7CCCEA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B0A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1" w:type="dxa"/>
            <w:vMerge w:val="continue"/>
            <w:vAlign w:val="center"/>
          </w:tcPr>
          <w:p w14:paraId="1640BDE3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00E9EBF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2E5E7F38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工作制度；工作制度得当得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分，基本准确得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分，其它得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分，缺少相应内容不得分。</w:t>
            </w:r>
          </w:p>
        </w:tc>
        <w:tc>
          <w:tcPr>
            <w:tcW w:w="871" w:type="dxa"/>
            <w:vAlign w:val="center"/>
          </w:tcPr>
          <w:p w14:paraId="142E21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09B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01" w:type="dxa"/>
            <w:vMerge w:val="continue"/>
            <w:vAlign w:val="center"/>
          </w:tcPr>
          <w:p w14:paraId="77C67B5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vAlign w:val="center"/>
          </w:tcPr>
          <w:p w14:paraId="068AF45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7" w:type="dxa"/>
            <w:vAlign w:val="center"/>
          </w:tcPr>
          <w:p w14:paraId="1F013228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保修阶段方案；方案得当得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分，基本准确得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分，其它得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分，缺少相应内容不得分。</w:t>
            </w:r>
          </w:p>
        </w:tc>
        <w:tc>
          <w:tcPr>
            <w:tcW w:w="871" w:type="dxa"/>
            <w:vAlign w:val="center"/>
          </w:tcPr>
          <w:p w14:paraId="162A72B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297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01" w:type="dxa"/>
            <w:vAlign w:val="center"/>
          </w:tcPr>
          <w:p w14:paraId="156F0E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8" w:type="dxa"/>
            <w:vAlign w:val="center"/>
          </w:tcPr>
          <w:p w14:paraId="791EFE6E">
            <w:pPr>
              <w:widowControl/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组织机构（10分）</w:t>
            </w:r>
          </w:p>
        </w:tc>
        <w:tc>
          <w:tcPr>
            <w:tcW w:w="6957" w:type="dxa"/>
            <w:vAlign w:val="center"/>
          </w:tcPr>
          <w:p w14:paraId="3569C56D">
            <w:pPr>
              <w:widowControl/>
              <w:numPr>
                <w:numId w:val="0"/>
              </w:numPr>
              <w:shd w:val="clear" w:color="auto" w:fill="FFFFFF"/>
              <w:rPr>
                <w:rFonts w:hint="default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总监要求：</w:t>
            </w:r>
          </w:p>
          <w:p w14:paraId="5F80BA8F">
            <w:pPr>
              <w:widowControl/>
              <w:numPr>
                <w:numId w:val="0"/>
              </w:numPr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总监理工程师取得国家监理工程师执（职）业资格年限 10 年及以上得 3 分（年限以国家监理工程师执（职）业资格证书批准日期为准）；（本项最高得3分） </w:t>
            </w:r>
          </w:p>
          <w:p w14:paraId="2FD312FC">
            <w:pPr>
              <w:widowControl/>
              <w:numPr>
                <w:numId w:val="0"/>
              </w:numPr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具有国家一级注册建造师证书（注册专业：建筑工程）的得2分、高级工程师及以上职称的得 1 分。（本项最高得3分）</w:t>
            </w:r>
          </w:p>
          <w:p w14:paraId="6A3D0C13">
            <w:pPr>
              <w:widowControl/>
              <w:numPr>
                <w:numId w:val="0"/>
              </w:numPr>
              <w:shd w:val="clear" w:color="auto" w:fill="FFFFFF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需按上述要求提供人员注册证书、职称证书原件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复印件。</w:t>
            </w:r>
          </w:p>
          <w:p w14:paraId="2A35153B">
            <w:pPr>
              <w:widowControl/>
              <w:numPr>
                <w:numId w:val="0"/>
              </w:numPr>
              <w:shd w:val="clear" w:color="auto" w:fill="FFFFFF"/>
              <w:rPr>
                <w:rFonts w:hint="default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专业人员要求：</w:t>
            </w:r>
          </w:p>
          <w:p w14:paraId="12537578">
            <w:pPr>
              <w:widowControl/>
              <w:numPr>
                <w:numId w:val="0"/>
              </w:numPr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房屋建筑专业监理工程师1名：具有国家注册监理工程师资格（注册专业：房屋建筑工程），得1分；在此基础上，同时具有国家一级注册建造师证书（注册专业：建筑工程），得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分；本项最高得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分。（以注册证书、职称证书原件扫描件为准，本项限评一人，一人同时担任两个及以上岗位的，按得分高的计分，不重复计分。）</w:t>
            </w:r>
          </w:p>
          <w:p w14:paraId="7DCFC01E">
            <w:pPr>
              <w:widowControl/>
              <w:numPr>
                <w:numId w:val="0"/>
              </w:numPr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机电专业监理工程师 1 名，具有国家注册监理工程师资格（注册专业：机电安装工程）得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分；本项最高得2分。（以注册证书、职称证书原件扫描件为准，本项限评一人，一人同时担任两个及以上岗位的，按得分高的计分，不重复计分。）</w:t>
            </w:r>
          </w:p>
        </w:tc>
        <w:tc>
          <w:tcPr>
            <w:tcW w:w="871" w:type="dxa"/>
            <w:vAlign w:val="center"/>
          </w:tcPr>
          <w:p w14:paraId="18658C2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FF8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01" w:type="dxa"/>
            <w:vAlign w:val="center"/>
          </w:tcPr>
          <w:p w14:paraId="0303B9B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8" w:type="dxa"/>
            <w:vAlign w:val="center"/>
          </w:tcPr>
          <w:p w14:paraId="40F8610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 w14:paraId="13AED7D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957" w:type="dxa"/>
            <w:vAlign w:val="center"/>
          </w:tcPr>
          <w:p w14:paraId="359BD1A3">
            <w:pPr>
              <w:widowControl/>
              <w:numPr>
                <w:ilvl w:val="0"/>
                <w:numId w:val="1"/>
              </w:numPr>
              <w:shd w:val="clear" w:color="auto" w:fill="FFFFFF"/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供应商提供自2022年10月01日以来承担过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监理服务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业绩的，每提供一个得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分，最高得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分。（提供相关合同等证明材料复印件）</w:t>
            </w:r>
          </w:p>
        </w:tc>
        <w:tc>
          <w:tcPr>
            <w:tcW w:w="871" w:type="dxa"/>
            <w:vAlign w:val="center"/>
          </w:tcPr>
          <w:p w14:paraId="35C63554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F84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26" w:type="dxa"/>
            <w:gridSpan w:val="3"/>
            <w:vAlign w:val="center"/>
          </w:tcPr>
          <w:p w14:paraId="5200CA02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71" w:type="dxa"/>
            <w:vAlign w:val="center"/>
          </w:tcPr>
          <w:p w14:paraId="03528353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7A8BFC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7E677"/>
    <w:multiLevelType w:val="singleLevel"/>
    <w:tmpl w:val="F3A7E67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0BAA664A"/>
    <w:rsid w:val="0DE93E42"/>
    <w:rsid w:val="113F7936"/>
    <w:rsid w:val="34E942B3"/>
    <w:rsid w:val="36F77EB7"/>
    <w:rsid w:val="590523A1"/>
    <w:rsid w:val="6B34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4">
    <w:name w:val="Body Text First Indent"/>
    <w:basedOn w:val="2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paragraph" w:styleId="5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character" w:customStyle="1" w:styleId="8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1142</Characters>
  <Lines>2</Lines>
  <Paragraphs>1</Paragraphs>
  <TotalTime>1</TotalTime>
  <ScaleCrop>false</ScaleCrop>
  <LinksUpToDate>false</LinksUpToDate>
  <CharactersWithSpaces>1182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王金</cp:lastModifiedBy>
  <dcterms:modified xsi:type="dcterms:W3CDTF">2025-12-04T05:39:33Z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eyJoZGlkIjoiMGQ2MDYxZmViMTIyNzUxMjQwMGZkMWY3ZGU2NWUwNTYiLCJ1c2VySWQiOiIxNDQ3NzQ2OTY5In0=</vt:lpwstr>
  </property>
  <property fmtid="{D5CDD505-2E9C-101B-9397-08002B2CF9AE}" pid="3" name="KSOProductBuildVer">
    <vt:lpwstr>2052-12.1.0.23542</vt:lpwstr>
  </property>
  <property fmtid="{D5CDD505-2E9C-101B-9397-08002B2CF9AE}" pid="4" name="ICV">
    <vt:lpwstr>E1ACCE6952254B7A814C7B74D49757DD_12</vt:lpwstr>
  </property>
</Properties>
</file>