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39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051"/>
        <w:gridCol w:w="6427"/>
      </w:tblGrid>
      <w:tr w14:paraId="7118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C490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b/>
                <w:sz w:val="24"/>
              </w:rPr>
              <w:t>评审因素</w:t>
            </w:r>
          </w:p>
        </w:tc>
        <w:tc>
          <w:tcPr>
            <w:tcW w:w="6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CFD4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b/>
                <w:sz w:val="24"/>
              </w:rPr>
              <w:t>评审标准</w:t>
            </w:r>
          </w:p>
        </w:tc>
      </w:tr>
      <w:tr w14:paraId="7723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7F47">
            <w:pPr>
              <w:jc w:val="center"/>
              <w:rPr>
                <w:rFonts w:hAnsi="宋体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价格</w:t>
            </w:r>
          </w:p>
          <w:p w14:paraId="26430F14">
            <w:pPr>
              <w:jc w:val="center"/>
              <w:rPr>
                <w:rFonts w:hAnsi="宋体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部分</w:t>
            </w:r>
          </w:p>
          <w:p w14:paraId="423DCAF4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10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10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8B12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价格</w:t>
            </w:r>
          </w:p>
          <w:p w14:paraId="45FA043C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10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6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5585">
            <w:pPr>
              <w:pStyle w:val="1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采</w:t>
            </w:r>
            <w:r>
              <w:rPr>
                <w:rFonts w:hint="eastAsia" w:ascii="宋体" w:hAnsi="宋体" w:cs="宋体"/>
                <w:sz w:val="24"/>
              </w:rPr>
              <w:t>用低价优先法计算，即满足采购文件要求且投标价格最低的投标报价为评标基准价，其价格分为满分。其他供应商的价格分统一按照下列公式计算:</w:t>
            </w:r>
          </w:p>
          <w:p w14:paraId="2F574E67">
            <w:pPr>
              <w:pStyle w:val="12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投标报价得分=（评标基准价/投标报价）×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  <w:p w14:paraId="60654399">
            <w:pPr>
              <w:rPr>
                <w:rFonts w:eastAsia="宋体"/>
              </w:rPr>
            </w:pPr>
            <w:r>
              <w:rPr>
                <w:rFonts w:ascii="宋体" w:hAnsi="宋体" w:eastAsia="宋体" w:cs="宋体"/>
                <w:sz w:val="24"/>
              </w:rPr>
              <w:t>供应商为小型、微型、监狱企业、享受政府采购支持政策的残疾人福利性单位的，该供应商评审价格=开标一览表中的报价*（100%-10%）。注：得分四舍五入保留小数点后2位。</w:t>
            </w:r>
          </w:p>
        </w:tc>
      </w:tr>
      <w:tr w14:paraId="2E9F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61" w:type="dxa"/>
            <w:vMerge w:val="restart"/>
            <w:noWrap/>
            <w:vAlign w:val="center"/>
          </w:tcPr>
          <w:p w14:paraId="0A4B4C8B">
            <w:pPr>
              <w:jc w:val="center"/>
              <w:rPr>
                <w:rFonts w:hAnsi="宋体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技术</w:t>
            </w:r>
          </w:p>
          <w:p w14:paraId="42E9333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部分</w:t>
            </w:r>
          </w:p>
          <w:p w14:paraId="64308DD4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60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10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D98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实施</w:t>
            </w:r>
          </w:p>
          <w:p w14:paraId="2C7B1ECE">
            <w:pPr>
              <w:jc w:val="center"/>
              <w:rPr>
                <w:rFonts w:hAnsi="宋体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方案</w:t>
            </w:r>
          </w:p>
          <w:p w14:paraId="6E08DD1E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30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6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50F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根据投标人提供的实施方案（包含但不限于：①系统集成方案；②施工管理方案，安装、验收计划；③设备安装调试和联网方案</w:t>
            </w:r>
            <w:r>
              <w:rPr>
                <w:rFonts w:hint="eastAsia" w:ascii="宋体" w:hAnsi="宋体" w:eastAsia="宋体" w:cs="宋体"/>
                <w:sz w:val="24"/>
              </w:rPr>
              <w:t>④</w:t>
            </w:r>
            <w:r>
              <w:rPr>
                <w:rFonts w:hint="eastAsia" w:asciiTheme="minorEastAsia" w:hAnsiTheme="minorEastAsia" w:cstheme="minorEastAsia"/>
                <w:sz w:val="24"/>
              </w:rPr>
              <w:t>站房总体布局安排及效果图</w:t>
            </w:r>
            <w:r>
              <w:rPr>
                <w:rFonts w:hint="eastAsia"/>
                <w:sz w:val="24"/>
              </w:rPr>
              <w:t>。由评委对投标方案进行综合比较。</w:t>
            </w:r>
          </w:p>
          <w:p w14:paraId="2FE881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(1)以上内容不存在瑕疵: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分;</w:t>
            </w:r>
          </w:p>
          <w:p w14:paraId="7D52B75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(2)以上内容存在1处瑕疵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分;</w:t>
            </w:r>
          </w:p>
          <w:p w14:paraId="7D443C0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(3)以上内容存在2处瑕疵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分;</w:t>
            </w:r>
          </w:p>
          <w:p w14:paraId="4B06F3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(4) 以上内容存在3处瑕疵: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分;</w:t>
            </w:r>
          </w:p>
          <w:p w14:paraId="2592A094"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(5)</w:t>
            </w:r>
            <w:r>
              <w:rPr>
                <w:rFonts w:hint="eastAsia" w:eastAsia="宋体"/>
                <w:sz w:val="24"/>
              </w:rPr>
              <w:t>以上内容</w:t>
            </w:r>
            <w:r>
              <w:rPr>
                <w:rFonts w:hint="eastAsia"/>
                <w:sz w:val="24"/>
              </w:rPr>
              <w:t>存在4处</w:t>
            </w:r>
            <w:r>
              <w:rPr>
                <w:rFonts w:hint="eastAsia" w:eastAsia="宋体"/>
                <w:sz w:val="24"/>
              </w:rPr>
              <w:t>瑕疵：</w:t>
            </w:r>
            <w:r>
              <w:rPr>
                <w:rFonts w:hint="eastAsia" w:eastAsia="宋体"/>
                <w:sz w:val="24"/>
                <w:lang w:val="en-US" w:eastAsia="zh-CN"/>
              </w:rPr>
              <w:t>10</w:t>
            </w:r>
            <w:r>
              <w:rPr>
                <w:rFonts w:hint="eastAsia" w:eastAsia="宋体"/>
                <w:sz w:val="24"/>
              </w:rPr>
              <w:t>分</w:t>
            </w:r>
          </w:p>
          <w:p w14:paraId="5E48165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(6)</w:t>
            </w:r>
            <w:r>
              <w:rPr>
                <w:rFonts w:hint="eastAsia" w:eastAsia="宋体"/>
                <w:sz w:val="24"/>
              </w:rPr>
              <w:t>以上内容</w:t>
            </w:r>
            <w:r>
              <w:rPr>
                <w:rFonts w:hint="eastAsia"/>
                <w:sz w:val="24"/>
              </w:rPr>
              <w:t>存在</w:t>
            </w:r>
            <w:r>
              <w:rPr>
                <w:rFonts w:hint="eastAsia" w:eastAsia="宋体"/>
                <w:sz w:val="24"/>
              </w:rPr>
              <w:t>5处及以上瑕疵或</w:t>
            </w:r>
            <w:r>
              <w:rPr>
                <w:rFonts w:hint="eastAsia"/>
                <w:sz w:val="24"/>
              </w:rPr>
              <w:t>未提供方案:0 分。</w:t>
            </w:r>
          </w:p>
          <w:p w14:paraId="06886AB9">
            <w:pPr>
              <w:jc w:val="left"/>
            </w:pPr>
            <w:r>
              <w:rPr>
                <w:rFonts w:hint="eastAsia"/>
                <w:sz w:val="24"/>
              </w:rPr>
              <w:t>“</w:t>
            </w:r>
            <w:r>
              <w:rPr>
                <w:rFonts w:hint="eastAsia" w:hAnsi="宋体"/>
                <w:b/>
                <w:bCs/>
                <w:sz w:val="24"/>
              </w:rPr>
              <w:t>瑕疵”是指内容缺项、不完整或缺少关键点;非专门针对本项目或不适用本项目特性、套用其他项目内容;对同一问题前后表述矛盾;存在逻辑漏洞、科学原理或常识错误;不利于本项目目标的实现、现有技术条件下不可能出现的情形等任意一种情形。</w:t>
            </w:r>
          </w:p>
        </w:tc>
      </w:tr>
      <w:tr w14:paraId="5A39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1" w:type="dxa"/>
            <w:vMerge w:val="continue"/>
            <w:noWrap/>
          </w:tcPr>
          <w:p w14:paraId="519BFF29">
            <w:pPr>
              <w:rPr>
                <w:sz w:val="24"/>
                <w:szCs w:val="20"/>
              </w:rPr>
            </w:pPr>
          </w:p>
        </w:tc>
        <w:tc>
          <w:tcPr>
            <w:tcW w:w="10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EA8D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售后服务方案（</w:t>
            </w:r>
            <w:r>
              <w:rPr>
                <w:rFonts w:hint="eastAsia" w:hAnsi="宋体"/>
                <w:sz w:val="24"/>
                <w:lang w:val="en-US" w:eastAsia="zh-CN"/>
              </w:rPr>
              <w:t>30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6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E5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根据投标人提供的售后服务方案（包含但不限于：①售后服务网点及人员；②售后质量保证范围；③响应时间及响应措施）进行综合评审。由评委对投标方案进行综合比较。</w:t>
            </w:r>
          </w:p>
          <w:p w14:paraId="5143CA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(1)以上内容不存在瑕疵: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分;</w:t>
            </w:r>
          </w:p>
          <w:p w14:paraId="5E19C4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(2)以上内容存在1处瑕疵</w:t>
            </w:r>
            <w:r>
              <w:rPr>
                <w:rFonts w:hint="eastAsia" w:eastAsia="宋体"/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分;</w:t>
            </w:r>
          </w:p>
          <w:p w14:paraId="51FC0B6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(3)以上内容存在2处瑕疵: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分;</w:t>
            </w:r>
          </w:p>
          <w:p w14:paraId="7ADC828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(4)以上内容存在3处瑕疵: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分;</w:t>
            </w:r>
          </w:p>
          <w:p w14:paraId="2C23E96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(5)以上内容存在4处瑕疵:</w:t>
            </w:r>
            <w:r>
              <w:rPr>
                <w:rFonts w:hint="eastAsia" w:eastAsia="宋体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分。</w:t>
            </w:r>
          </w:p>
          <w:p w14:paraId="1D27F4BE"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(6)</w:t>
            </w:r>
            <w:r>
              <w:rPr>
                <w:rFonts w:hint="eastAsia" w:eastAsia="宋体"/>
                <w:sz w:val="24"/>
              </w:rPr>
              <w:t>以上内容</w:t>
            </w:r>
            <w:r>
              <w:rPr>
                <w:rFonts w:hint="eastAsia"/>
                <w:sz w:val="24"/>
              </w:rPr>
              <w:t>存在</w:t>
            </w:r>
            <w:r>
              <w:rPr>
                <w:rFonts w:hint="eastAsia" w:eastAsia="宋体"/>
                <w:sz w:val="24"/>
              </w:rPr>
              <w:t>5处及以上瑕疵或</w:t>
            </w:r>
            <w:r>
              <w:rPr>
                <w:rFonts w:hint="eastAsia"/>
                <w:sz w:val="24"/>
              </w:rPr>
              <w:t>未提供方案</w:t>
            </w:r>
            <w:r>
              <w:rPr>
                <w:rFonts w:hint="eastAsia" w:eastAsia="宋体"/>
                <w:sz w:val="24"/>
              </w:rPr>
              <w:t>：0分</w:t>
            </w:r>
          </w:p>
          <w:p w14:paraId="6419EEA9">
            <w:pPr>
              <w:jc w:val="left"/>
            </w:pPr>
            <w:r>
              <w:rPr>
                <w:rFonts w:hint="eastAsia"/>
                <w:sz w:val="24"/>
              </w:rPr>
              <w:t xml:space="preserve"> “</w:t>
            </w:r>
            <w:r>
              <w:rPr>
                <w:rFonts w:hint="eastAsia" w:hAnsi="宋体"/>
                <w:b/>
                <w:bCs/>
                <w:sz w:val="24"/>
              </w:rPr>
              <w:t>瑕疵”是指内容缺项、不完整或缺少关键点;非专门针对本项目或不适用本项目特性、套用其他项目内容;对同一问题前后表述矛盾;存在逻辑漏洞、科学原理或常识错误;不利于本项目目标的实现、现有技术条件下不可能出现的情形等任意一种情形。</w:t>
            </w:r>
          </w:p>
        </w:tc>
      </w:tr>
      <w:tr w14:paraId="2B37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56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243C">
            <w:pPr>
              <w:jc w:val="center"/>
              <w:rPr>
                <w:rFonts w:hAnsi="宋体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商务</w:t>
            </w:r>
          </w:p>
          <w:p w14:paraId="03C1F9C2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部分</w:t>
            </w:r>
          </w:p>
          <w:p w14:paraId="5E0D207C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10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FA8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人员</w:t>
            </w:r>
          </w:p>
          <w:p w14:paraId="076B8FFF">
            <w:pPr>
              <w:jc w:val="center"/>
              <w:rPr>
                <w:rFonts w:hAnsi="宋体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配备</w:t>
            </w:r>
          </w:p>
          <w:p w14:paraId="0F254F5A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10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6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2FB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投标人为本项目配备的项目经理具有环境相关专业中级证书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分。</w:t>
            </w:r>
          </w:p>
          <w:p w14:paraId="21F0343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投标人为本项目配备的项目经理具有江苏省环境监测中心颁布的《江苏省环境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人员培训证书》得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分。</w:t>
            </w:r>
          </w:p>
          <w:p w14:paraId="3053FD44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.投标人为本项目配备的服务人员中，有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名服务人员具有《地表水环境质量自动监测运维管工》的得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，有3名得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分，本项最高得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。</w:t>
            </w:r>
            <w:bookmarkStart w:id="0" w:name="_GoBack"/>
            <w:bookmarkEnd w:id="0"/>
          </w:p>
          <w:p w14:paraId="2DA1D105">
            <w:pPr>
              <w:pStyle w:val="12"/>
              <w:jc w:val="left"/>
              <w:rPr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投标文件中须提供上述证书原件扫描件，服务人员近3个月社保证明原件扫描件。</w:t>
            </w:r>
          </w:p>
        </w:tc>
      </w:tr>
      <w:tr w14:paraId="68A8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561" w:type="dxa"/>
            <w:vMerge w:val="continue"/>
            <w:noWrap/>
          </w:tcPr>
          <w:p w14:paraId="44CD97B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A16D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>投标人评价</w:t>
            </w:r>
          </w:p>
          <w:p w14:paraId="638C65DC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14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6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D46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1、投标人具有有效期内的《高新技术企业》证书的，得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分。投标文件中须提供上述有效内的证书扫描件，不提供不得分</w:t>
            </w:r>
          </w:p>
          <w:p w14:paraId="538C7ECE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2、投标人具有第三方机构颁发的AAA资信等级证书的，得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分。（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投标时须提供证书的扫描件，不提供不得分。）</w:t>
            </w:r>
          </w:p>
          <w:p w14:paraId="16A5F15F"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3、投标人具有在有效期内的、</w:t>
            </w:r>
            <w:r>
              <w:rPr>
                <w:rFonts w:hint="eastAsia" w:ascii="宋体" w:hAnsi="宋体" w:eastAsia="宋体" w:cs="宋体"/>
                <w:iCs/>
                <w:kern w:val="0"/>
                <w:sz w:val="24"/>
              </w:rPr>
              <w:t>质量管理体系认证证书、环境管理体系认证证书、职业健康安全管理体系认证证书，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每具有一个证书可得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分，本项最高得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分。投标文件中须提供上述有效内的证书扫描件，不提供不得分。</w:t>
            </w:r>
          </w:p>
          <w:p w14:paraId="6C571BC6"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4、投标人具有水站集成控制优化系统证书的得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分。投标文件中须提供上述有效内的证书扫描件，不提供不得分。</w:t>
            </w:r>
          </w:p>
          <w:p w14:paraId="0B098458">
            <w:pPr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 w14:paraId="659368C7">
            <w:pPr>
              <w:rPr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（投标人投标文件中提供证书原件扫描件并加盖电子签章。）</w:t>
            </w:r>
          </w:p>
        </w:tc>
      </w:tr>
      <w:tr w14:paraId="0A9B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1" w:type="dxa"/>
            <w:vMerge w:val="continue"/>
            <w:noWrap/>
          </w:tcPr>
          <w:p w14:paraId="39A9990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9489">
            <w:pPr>
              <w:jc w:val="center"/>
              <w:rPr>
                <w:rFonts w:hAnsi="宋体"/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业绩</w:t>
            </w:r>
          </w:p>
          <w:p w14:paraId="2877729A">
            <w:pPr>
              <w:jc w:val="center"/>
              <w:rPr>
                <w:sz w:val="24"/>
                <w:szCs w:val="20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6</w:t>
            </w:r>
            <w:r>
              <w:rPr>
                <w:rFonts w:hAnsi="宋体"/>
                <w:sz w:val="24"/>
              </w:rPr>
              <w:t>分）</w:t>
            </w:r>
          </w:p>
        </w:tc>
        <w:tc>
          <w:tcPr>
            <w:tcW w:w="6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5D30">
            <w:pPr>
              <w:pStyle w:val="1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投标人近年（2021年1月至响应截止时间）曾参与过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类似</w:t>
            </w:r>
            <w:r>
              <w:rPr>
                <w:rFonts w:hint="eastAsia" w:ascii="宋体" w:hAnsi="宋体" w:cs="宋体"/>
                <w:sz w:val="24"/>
              </w:rPr>
              <w:t>地表水水质自动站建设，每提供一个业绩得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分，最高得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分。</w:t>
            </w:r>
          </w:p>
          <w:p w14:paraId="0B79A31C">
            <w:pPr>
              <w:pStyle w:val="12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（上述“地表水水质自动站”指固定式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sz w:val="24"/>
              </w:rPr>
              <w:t>简易式、小型式、浮船式、水上固定平台站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不包含</w:t>
            </w:r>
            <w:r>
              <w:rPr>
                <w:rFonts w:hint="eastAsia" w:ascii="宋体" w:hAnsi="宋体" w:cs="宋体"/>
                <w:b/>
                <w:sz w:val="24"/>
              </w:rPr>
              <w:t>污染源在线监测系统。须提供中标通知书、业绩清单、运维合同、发票等证明材料，否则不予认可。）</w:t>
            </w:r>
          </w:p>
        </w:tc>
      </w:tr>
    </w:tbl>
    <w:p w14:paraId="70F6A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0AC43F64"/>
    <w:rsid w:val="113F7936"/>
    <w:rsid w:val="156448BA"/>
    <w:rsid w:val="36F77EB7"/>
    <w:rsid w:val="48BC05A6"/>
    <w:rsid w:val="508311F9"/>
    <w:rsid w:val="6B342C98"/>
    <w:rsid w:val="6E6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1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1322</Characters>
  <Lines>2</Lines>
  <Paragraphs>1</Paragraphs>
  <TotalTime>1</TotalTime>
  <ScaleCrop>false</ScaleCrop>
  <LinksUpToDate>false</LinksUpToDate>
  <CharactersWithSpaces>1325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刘学</cp:lastModifiedBy>
  <dcterms:modified xsi:type="dcterms:W3CDTF">2025-11-26T06:51:02Z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eyJoZGlkIjoiMzRjZTYwN2Y1Yzg1NmY0NDRhMzgxZmM0OTNiNWI3ZjMiLCJ1c2VySWQiOiI0ODMyMTAyNDYifQ==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E1ACCE6952254B7A814C7B74D49757DD_12</vt:lpwstr>
  </property>
</Properties>
</file>