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spacing w:line="360" w:lineRule="auto"/>
        <w:jc w:val="center"/>
        <w:rPr>
          <w:rFonts w:eastAsia="方正小标宋_GBK"/>
          <w:kern w:val="2"/>
          <w:sz w:val="44"/>
          <w:szCs w:val="40"/>
        </w:rPr>
      </w:pPr>
    </w:p>
    <w:p>
      <w:pPr>
        <w:spacing w:line="360" w:lineRule="auto"/>
        <w:jc w:val="center"/>
        <w:rPr>
          <w:rFonts w:ascii="方正小标宋_GBK" w:eastAsia="方正小标宋_GBK" w:hint="eastAsia"/>
          <w:kern w:val="2"/>
          <w:sz w:val="44"/>
          <w:szCs w:val="40"/>
        </w:rPr>
      </w:pPr>
      <w:r>
        <w:rPr>
          <w:rFonts w:ascii="方正小标宋_GBK" w:eastAsia="方正小标宋_GBK" w:hint="eastAsia"/>
          <w:kern w:val="2"/>
          <w:sz w:val="44"/>
          <w:szCs w:val="40"/>
        </w:rPr>
        <w:t>南京市雨花台区生态文明建设规划</w:t>
      </w:r>
    </w:p>
    <w:p>
      <w:pPr>
        <w:spacing w:line="360" w:lineRule="auto"/>
        <w:jc w:val="center"/>
        <w:rPr>
          <w:rFonts w:ascii="方正小标宋_GBK" w:eastAsia="方正小标宋_GBK" w:hint="eastAsia"/>
          <w:kern w:val="2"/>
          <w:sz w:val="44"/>
          <w:szCs w:val="40"/>
        </w:rPr>
      </w:pPr>
      <w:r>
        <w:rPr>
          <w:rFonts w:ascii="方正小标宋_GBK" w:eastAsia="方正小标宋_GBK" w:hint="eastAsia"/>
          <w:kern w:val="2"/>
          <w:sz w:val="44"/>
          <w:szCs w:val="40"/>
        </w:rPr>
        <w:t>（2023-2030年）</w:t>
      </w:r>
    </w:p>
    <w:p>
      <w:pPr>
        <w:spacing w:line="360" w:lineRule="auto"/>
        <w:jc w:val="center"/>
        <w:rPr>
          <w:rFonts w:eastAsia="方正小标宋_GBK"/>
          <w:kern w:val="2"/>
          <w:sz w:val="44"/>
          <w:szCs w:val="40"/>
        </w:rPr>
      </w:pPr>
    </w:p>
    <w:p>
      <w:pPr>
        <w:pStyle w:val="39"/>
        <w:spacing w:beforeLines="0" w:before="190" w:afterLines="0" w:after="190" w:line="560" w:lineRule="exact"/>
        <w:rPr>
          <w:szCs w:val="32"/>
        </w:rPr>
      </w:pPr>
      <w:bookmarkStart w:id="0" w:name="_Toc156576349"/>
      <w:bookmarkStart w:id="1" w:name="_Toc57322057"/>
      <w:r>
        <w:rPr>
          <w:szCs w:val="32"/>
        </w:rPr>
        <w:t>生态文明建设形势分析</w:t>
      </w:r>
      <w:bookmarkEnd w:id="0"/>
    </w:p>
    <w:p>
      <w:pPr>
        <w:pStyle w:val="15"/>
        <w:numPr>
          <w:ilvl w:val="0"/>
          <w:numId w:val="1"/>
        </w:numPr>
        <w:spacing w:line="560" w:lineRule="exact"/>
        <w:jc w:val="center"/>
      </w:pPr>
      <w:bookmarkStart w:id="2" w:name="_Toc156576350"/>
      <w:r>
        <w:t>区域特征</w:t>
      </w:r>
      <w:bookmarkEnd w:id="2"/>
    </w:p>
    <w:p>
      <w:pPr>
        <w:spacing w:line="560" w:lineRule="exact"/>
        <w:ind w:firstLineChars="200" w:firstLine="560"/>
        <w:rPr>
          <w:szCs w:val="28"/>
        </w:rPr>
      </w:pPr>
      <w:r>
        <w:rPr>
          <w:szCs w:val="28"/>
        </w:rPr>
        <w:t>南京市雨花台区坐落在六朝古都南京城区南部、长江之滨，位于北纬31°53′50″～32°05′40″，东经118°36′00″～118°52′30″，东与秦淮区、江宁区接壤，南与江宁区毗邻，西隔长江与浦口区相望，北与秦淮区、建邺区相邻，是南京市建设中国软件名城的核心区、国家重要的软件产业和信息产业中心、中国最大的通讯软件产业研发基地。</w:t>
      </w:r>
    </w:p>
    <w:p>
      <w:pPr>
        <w:spacing w:line="560" w:lineRule="exact"/>
        <w:ind w:firstLineChars="200" w:firstLine="560"/>
        <w:rPr>
          <w:szCs w:val="28"/>
        </w:rPr>
      </w:pPr>
      <w:r>
        <w:rPr>
          <w:szCs w:val="28"/>
        </w:rPr>
        <w:t>雨花台区是南京主城南延的重要发展区域，区内交通便捷，距离南京市中心新街口3千米，距长江新生圩港18千米，距离南京禄口国际机场20千米，是南京进出空港的必经之路。华东地区最大的交通枢纽、国家铁道枢纽站——南京南站，坐落于雨花台区，高铁路网密集。雨花台区是南京连接江南与江北、主城与郊区的重要交通门户，辐射皖南、皖北、苏南、苏北、浙北的重要窗口，连接华东、华中、华南、华北的重要交通枢纽。</w:t>
      </w:r>
    </w:p>
    <w:p>
      <w:pPr>
        <w:spacing w:line="560" w:lineRule="exact"/>
        <w:ind w:firstLineChars="200" w:firstLine="560"/>
      </w:pPr>
      <w:r>
        <w:t>2022年雨花台区地区生产总值1040.22亿元，经济运行总体平稳，稳中有进。雨花台区紧扣“全面创新、全域高新”目标定位，持续打造数字引领、软硬结合的“1+2”现代化产业体系，全力打造新滨江、建设数字城，区内软件谷获评全国首批国家数字服务出口基地、中国最具活力软件园、全国影响力园区、中国软件名城示范区。</w:t>
      </w:r>
    </w:p>
    <w:p>
      <w:pPr>
        <w:pStyle w:val="15"/>
        <w:numPr>
          <w:ilvl w:val="0"/>
          <w:numId w:val="1"/>
        </w:numPr>
        <w:spacing w:line="560" w:lineRule="exact"/>
        <w:jc w:val="center"/>
      </w:pPr>
      <w:bookmarkStart w:id="3" w:name="_Toc156576351"/>
      <w:r>
        <w:t>生态文明建设基础</w:t>
      </w:r>
      <w:bookmarkEnd w:id="3"/>
    </w:p>
    <w:p>
      <w:pPr>
        <w:pStyle w:val="40"/>
      </w:pPr>
      <w:bookmarkStart w:id="4" w:name="_Toc154688874"/>
      <w:bookmarkStart w:id="5" w:name="_Toc156576352"/>
      <w:r>
        <w:t>一、生态制度健全</w:t>
      </w:r>
      <w:bookmarkEnd w:id="4"/>
      <w:bookmarkEnd w:id="5"/>
    </w:p>
    <w:p>
      <w:pPr>
        <w:spacing w:line="560" w:lineRule="exact"/>
        <w:ind w:firstLineChars="200" w:firstLine="560"/>
      </w:pPr>
      <w:r>
        <w:rPr>
          <w:b/>
        </w:rPr>
        <w:t>加强生态文明组织领导。</w:t>
      </w:r>
      <w:r>
        <w:t>雨花台区</w:t>
      </w:r>
      <w:bookmarkStart w:id="6" w:name="_Hlk154568097"/>
      <w:r>
        <w:t>成立以区委副书记、区长为总指挥，区委常委副区长为副组长，各单位部门主要负责人为成员的“雨花台区创建生态文明建设示范区领导小组”</w:t>
      </w:r>
      <w:bookmarkEnd w:id="6"/>
      <w:r>
        <w:t>，统筹生态文明建设各项工作。同时明确区委、区政府及其部门等各个主体的生态环境保护职责，将生态文明建设列入区级机关绩效考核。</w:t>
      </w:r>
    </w:p>
    <w:p>
      <w:pPr>
        <w:spacing w:line="560" w:lineRule="exact"/>
        <w:ind w:firstLineChars="200" w:firstLine="560"/>
      </w:pPr>
      <w:r>
        <w:rPr>
          <w:b/>
        </w:rPr>
        <w:t>全面履行法定职责。</w:t>
      </w:r>
      <w:r>
        <w:t>根据生态文明建设示范区考核要求，雨花台区强化监督执纪问责，</w:t>
      </w:r>
      <w:bookmarkStart w:id="7" w:name="_Hlk154568114"/>
      <w:r>
        <w:t>将生态环境领域追责问责纳入日常工作，</w:t>
      </w:r>
      <w:bookmarkEnd w:id="7"/>
      <w:r>
        <w:t>严格执行《南京市党政领导干部生态环境损害责任追究工作规程》，并按要求严肃查处生态环境领域失职渎职、履职不到位等问题。协助南京市开展“三线一单”划定工作，严格落实《南京市“三线一单”生态环境分区管控实施方案》（宁环发〔2020〕174号）。</w:t>
      </w:r>
      <w:bookmarkStart w:id="8" w:name="_Hlk154568147"/>
      <w:r>
        <w:t>严格落实领导干部自然资源资产离任审计制度，</w:t>
      </w:r>
      <w:bookmarkEnd w:id="8"/>
      <w:r>
        <w:t>促进领导干部认真履行自然资源资产管理和生态环境保护责任，促进节约利用自然资源资产和生态环境保护。积极落实中央生态环境保护督察和生态环境部组织的各类专项督察问题，督查问题均按计划完成整改销号或按计划推进整改中。</w:t>
      </w:r>
    </w:p>
    <w:p>
      <w:pPr>
        <w:spacing w:line="560" w:lineRule="exact"/>
        <w:ind w:firstLineChars="200" w:firstLine="560"/>
      </w:pPr>
      <w:r>
        <w:rPr>
          <w:b/>
        </w:rPr>
        <w:t>全面实施河湖长制。</w:t>
      </w:r>
      <w:bookmarkStart w:id="9" w:name="_Hlk154568126"/>
      <w:r>
        <w:t>设立区河长制办公室常设机构，形成区、街、社区三级河长体系</w:t>
      </w:r>
      <w:bookmarkEnd w:id="9"/>
      <w:r>
        <w:t>；严格落实督导检查制度、河长履职办法等，印发《2022年度雨花台区河长制工作要点》《2022年度河长制工作考核细则》。采取“四不两直双随机”等方式，对各级河长责任河湖开展检查督查，定期通报情况；完善区域内边界河湖联合河长制的相关工作，修订完善公示牌</w:t>
      </w:r>
      <w:r>
        <w:rPr>
          <w:rFonts w:hint="eastAsia"/>
        </w:rPr>
        <w:t>和</w:t>
      </w:r>
      <w:r>
        <w:t>河长职责信息</w:t>
      </w:r>
      <w:r>
        <w:rPr>
          <w:rFonts w:hint="eastAsia"/>
        </w:rPr>
        <w:t>，</w:t>
      </w:r>
      <w:r>
        <w:t>防止边界河湖出现管理盲区。</w:t>
      </w:r>
      <w:bookmarkStart w:id="10" w:name="_Hlk154568186"/>
      <w:r>
        <w:t>建立跨区边界河湖管理机制，设立了南河、秦淮新河、农花河、南玉带河、江宁河、板桥河联合河湖长</w:t>
      </w:r>
      <w:bookmarkEnd w:id="10"/>
      <w:r>
        <w:t>。开展长江干流、入江支流治理及回头看，保护河湖水域岸线，河湖长制成为统领部门“九龙共治”的龙头、整治河湖“两违三乱”的利器以及推进河湖“智慧管护”的平台。</w:t>
      </w:r>
    </w:p>
    <w:p>
      <w:pPr>
        <w:spacing w:line="560" w:lineRule="exact"/>
        <w:ind w:firstLineChars="200" w:firstLine="560"/>
      </w:pPr>
      <w:r>
        <w:rPr>
          <w:b/>
        </w:rPr>
        <w:t>健全治气攻坚体系。</w:t>
      </w:r>
      <w:r>
        <w:t>成立“书记版”专班——以区委书记为组长、区纪委书记、分管区长为副组长的治气攻坚领导小组，重点解决一批突出环境问题。明确工作职责。编制并完善《雨花台区污染源监管责任清单》《普德村路、共青团路连接线和凤台南路沿线微环境深度保洁工作清单16条》《中华门国控点应急管控保障方案17条》《雨花台区环境空气质量巩固提升攻坚工作方案19条》《雨花台区应急减排方案》，确保各项工作措施落到实处。强化指导培训。每旬召开全区街道（园区）大气调度会，以会代训，全面提升属地治气攻坚能力。</w:t>
      </w:r>
    </w:p>
    <w:p>
      <w:pPr>
        <w:pStyle w:val="40"/>
      </w:pPr>
      <w:bookmarkStart w:id="11" w:name="_Toc154688875"/>
      <w:bookmarkStart w:id="12" w:name="_Toc156576353"/>
      <w:r>
        <w:t>二、生态安全稳固</w:t>
      </w:r>
      <w:bookmarkEnd w:id="11"/>
      <w:bookmarkEnd w:id="12"/>
    </w:p>
    <w:p>
      <w:pPr>
        <w:spacing w:line="560" w:lineRule="exact"/>
        <w:ind w:firstLine="562"/>
        <w:rPr>
          <w:bCs/>
        </w:rPr>
      </w:pPr>
      <w:r>
        <w:rPr>
          <w:b/>
          <w:bCs/>
        </w:rPr>
        <w:t>生态环境问题全面整改。</w:t>
      </w:r>
      <w:r>
        <w:rPr>
          <w:bCs/>
        </w:rPr>
        <w:t>雨花台区高度重视环保督察整改工作，严格落实各项整改措施，做好交办件销号工作；同时健全完善整改台账资料，按照整改销号程序向区协调联络组申请销号；对于完成整改和销号的突出环境问题，建立长效管理机制，纳入长效管理，定期进行回头看，巩固整改成效，确保整改问题不反弹。雨花台区2016年中央督察、2017年江苏省环保督察、2018年中央督察“回头看”，129督察交办件已全部完成整改并销号。2022年第二轮督察25件，已完成整改24件，未完成整改1件，未完成销号2件，为南京市雨花台区南京大胜关港港口有限公司违建和关停转型问题。针对投诉的违建房屋已完成整改，关停转型问题整改时限为2025年底，正有序推进。</w:t>
      </w:r>
    </w:p>
    <w:p>
      <w:pPr>
        <w:spacing w:line="560" w:lineRule="exact"/>
        <w:ind w:firstLineChars="200" w:firstLine="560"/>
      </w:pPr>
      <w:r>
        <w:rPr>
          <w:b/>
          <w:bCs/>
        </w:rPr>
        <w:t>深入打好碧水保卫战。</w:t>
      </w:r>
      <w:r>
        <w:rPr>
          <w:bCs/>
        </w:rPr>
        <w:t>雨花台区</w:t>
      </w:r>
      <w:r>
        <w:t>国、省、市考断面水质累计均值全部达标。2016-2020年雨花台区累计完成25条黑臭河道整治、27个河道水环境提升项目和1个小流域治理项目。2019年、2020年，分批次对雨花台区全部劣V类水体开展“消劣”验收，全区76个水体全部完成“消劣”验收；2021-2022年完成7个暗涵整治及1个河道水环境提升工程，确保断面水质稳定达标。推进污水管网建设工程，完成江心洲污水收集系统、城东污水收集系统、城南污水收集系统等8个片区污水管网建设。全力推进入江排口整治，编制印发《雨花台区长江入河排污口分类整治工作方案》，对辖区内长江入河排污口按照核查、监测、溯源、整治四个环节开展排查与整治；启动秦淮新河入河排污口排查整治，整治完成率在全市排名前列。</w:t>
      </w:r>
    </w:p>
    <w:p>
      <w:pPr>
        <w:spacing w:line="560" w:lineRule="exact"/>
        <w:ind w:firstLineChars="200" w:firstLine="560"/>
      </w:pPr>
      <w:r>
        <w:rPr>
          <w:b/>
          <w:bCs/>
        </w:rPr>
        <w:t>坚决打好蓝天保卫战。</w:t>
      </w:r>
      <w:r>
        <w:rPr>
          <w:bCs/>
        </w:rPr>
        <w:t>2022年，雨花台区PM</w:t>
      </w:r>
      <w:r>
        <w:rPr>
          <w:bCs/>
          <w:vertAlign w:val="subscript"/>
        </w:rPr>
        <w:t>2.5</w:t>
      </w:r>
      <w:r>
        <w:rPr>
          <w:bCs/>
        </w:rPr>
        <w:t>浓度均值24.7微克/立方米，同比下降6.1%，主城排名第一、全市排名第三，实现2015年以来最优、2018年以来“四连降”；空气优良天数比率78.9%，同比下降4.1个百分点，主城排名第四、全市排名并列第九。</w:t>
      </w:r>
      <w:r>
        <w:t>全域全覆盖精细化治理，定期更新完善污染源清单、责任清单、问题清单、执法清单和项目清单，建立完善动态“问题库”。实施深度治理，持续开展工业企业、建材、港口码头、混凝土、印刷、汽修、餐饮等7个行业“精细化深度治理”。强化区域联防联控，结合中华门国控点的地理位置特点，组织开展“应急保障联防联控”，同时积极协调市攻坚办及秦淮、建邺区开展联防共治。完善大气监控网络体系建设，已实时接入1个国控站、7个小标站、90个微站的大气数据以及12家工业企业、44家汽修VOCs、150家智慧工地、988家餐饮油烟、239家阳光厨房的实时监测监控；建立“污染应对24小时值班”制度，制定下发“污染应对措施17条”，实施提前预判、实时预警、及时处置；精准溯源，通过雷达扫描、积尘走航、遥感监测和无人机巡查等科技手段，及时发现污染源头，为区域空气质量改善提供精准的治理依据。</w:t>
      </w:r>
    </w:p>
    <w:p>
      <w:pPr>
        <w:pStyle w:val="45"/>
        <w:spacing w:line="560" w:lineRule="exact"/>
        <w:rPr>
          <w:rFonts w:eastAsia="方正仿宋_GBK"/>
          <w:bCs/>
          <w:szCs w:val="24"/>
        </w:rPr>
      </w:pPr>
      <w:bookmarkStart w:id="13" w:name="_Hlk91493059"/>
      <w:r>
        <w:rPr>
          <w:rFonts w:eastAsia="方正仿宋_GBK"/>
          <w:b/>
          <w:szCs w:val="24"/>
        </w:rPr>
        <w:t>强化土壤与农村环境保护。</w:t>
      </w:r>
      <w:bookmarkEnd w:id="13"/>
      <w:r>
        <w:rPr>
          <w:rFonts w:eastAsia="方正仿宋_GBK"/>
          <w:bCs/>
          <w:szCs w:val="24"/>
        </w:rPr>
        <w:t>编制印发《雨花台区“十四五”土壤和地下水污染防治规划》《雨花台区2022年土壤和地下水污染防治工作方案》。落实建设用地土壤污染状况调查报告评审制度，</w:t>
      </w:r>
      <w:bookmarkStart w:id="14" w:name="_Hlk154567836"/>
      <w:r>
        <w:rPr>
          <w:rFonts w:eastAsia="方正仿宋_GBK"/>
          <w:bCs/>
          <w:szCs w:val="24"/>
        </w:rPr>
        <w:t>依法开展土壤污染状况调查和风险评估，完成</w:t>
      </w:r>
      <w:r>
        <w:rPr>
          <w:rFonts w:eastAsia="方正仿宋_GBK" w:hint="eastAsia"/>
          <w:bCs/>
          <w:szCs w:val="24"/>
        </w:rPr>
        <w:t>南京</w:t>
      </w:r>
      <w:r>
        <w:rPr>
          <w:rFonts w:eastAsia="方正仿宋_GBK"/>
          <w:bCs/>
          <w:szCs w:val="24"/>
        </w:rPr>
        <w:t>中船绿洲机器有限公司老厂区地块、贾东村污染地块治理修复</w:t>
      </w:r>
      <w:bookmarkEnd w:id="14"/>
      <w:r>
        <w:rPr>
          <w:rFonts w:eastAsia="方正仿宋_GBK"/>
          <w:bCs/>
          <w:szCs w:val="24"/>
        </w:rPr>
        <w:t>，保障全区土壤建设用地安全利用率100%。推进农业资源化利用，进一步完善废弃农膜回收利用体系，回收利用率98.33%，地膜回收率90.55%，示范推广全生物降解地膜，减少普通地膜的使用量；建立2个农药包装废弃物回收点，农药包装废弃物做到应收尽收，回收无害化处理100%。推进农业清洁化生产，强力推进化肥、农药使用量比2020年分别减少1.3%、1%年度任务，有效实现化肥、农药使用量负增长。</w:t>
      </w:r>
    </w:p>
    <w:p>
      <w:pPr>
        <w:pStyle w:val="45"/>
        <w:spacing w:line="560" w:lineRule="exact"/>
        <w:rPr>
          <w:rFonts w:eastAsia="方正仿宋_GBK"/>
          <w:szCs w:val="24"/>
        </w:rPr>
      </w:pPr>
      <w:r>
        <w:rPr>
          <w:rFonts w:eastAsia="方正仿宋_GBK"/>
          <w:b/>
          <w:szCs w:val="24"/>
        </w:rPr>
        <w:t>强化固体废弃物管理。</w:t>
      </w:r>
      <w:r>
        <w:rPr>
          <w:rFonts w:eastAsia="方正仿宋_GBK"/>
          <w:szCs w:val="24"/>
        </w:rPr>
        <w:t>推进“无废城市”建设，成立无废城市建设专项工作组，印发《雨花台区“无废城市”建设工作方案》，编制《雨花</w:t>
      </w:r>
      <w:r>
        <w:rPr>
          <w:rFonts w:eastAsia="方正仿宋_GBK" w:hint="eastAsia"/>
          <w:szCs w:val="24"/>
        </w:rPr>
        <w:t>台</w:t>
      </w:r>
      <w:r>
        <w:rPr>
          <w:rFonts w:eastAsia="方正仿宋_GBK"/>
          <w:szCs w:val="24"/>
        </w:rPr>
        <w:t>区“无废城市”建设实施方案》。推动固废源头减量，推进“两网融合”体系建设，健全“点、站、中心”三级可回收物回收体系，已完成全区287个小区的前端交投点设置工作，对全区8个街道资源回收站进行提档升级，提高了资源化利用水平，2022年雨花台区餐厨垃圾收运量24606吨、回收利用率达43.83%。依托江苏省危险废物全生命周期监控系统对543家危险废物产生单位实施信息化监管﹐对企业废弃危化品转移进行现场核查并指导。加强医疗废物的安全管理，规范医疗废物收集处置行为，开展医疗废物规范管理联合专项督导，采取“四不两直”方式对辖区内部分二级医疗机构、基层社区卫生服务中心、隔离点医废处置管理情况进行现场督导检查，组织指导第三方开展涉疫废弃物协同处置应急演练，确保医废收运及时。</w:t>
      </w:r>
    </w:p>
    <w:p>
      <w:pPr>
        <w:pStyle w:val="40"/>
      </w:pPr>
      <w:bookmarkStart w:id="15" w:name="_Toc154688876"/>
      <w:bookmarkStart w:id="16" w:name="_Toc156576354"/>
      <w:r>
        <w:t>三、生态空间优化</w:t>
      </w:r>
      <w:bookmarkEnd w:id="15"/>
      <w:bookmarkEnd w:id="16"/>
    </w:p>
    <w:p>
      <w:pPr>
        <w:spacing w:line="560" w:lineRule="exact"/>
        <w:ind w:firstLine="560"/>
      </w:pPr>
      <w:r>
        <w:rPr>
          <w:b/>
        </w:rPr>
        <w:t>城区生态安全网格优化。</w:t>
      </w:r>
      <w:r>
        <w:t>雨花台区始终践行“两山”理念，坚定生态优先、绿色发展的高质量发展导向，</w:t>
      </w:r>
      <w:bookmarkStart w:id="17" w:name="_Hlk154568229"/>
      <w:r>
        <w:t>着力形成“安全屏障+水绿廊道+服务核心”的“点线面”生态安全格局，</w:t>
      </w:r>
      <w:bookmarkStart w:id="18" w:name="_Hlk154568299"/>
      <w:bookmarkEnd w:id="17"/>
      <w:r>
        <w:t>努力发挥优质的山水生态资源价值</w:t>
      </w:r>
      <w:bookmarkEnd w:id="18"/>
      <w:r>
        <w:t>，构建层次丰富、安全稳固、山水城市融合的生态空间格局。有序推进《南京市雨花台区国土空间总体规划（2021-2035）》出台，进一步落实了底线约束，优化空间格局，夯实配套设施，为雨花全面融入主城、提升城市空间品质奠定了规划基础。</w:t>
      </w:r>
    </w:p>
    <w:p>
      <w:pPr>
        <w:spacing w:line="560" w:lineRule="exact"/>
        <w:ind w:firstLine="560"/>
      </w:pPr>
      <w:r>
        <w:rPr>
          <w:b/>
        </w:rPr>
        <w:t>生态空间布局逐步优化。</w:t>
      </w:r>
      <w:r>
        <w:t>严格执行江苏省生态管控区域规划，按要求做好国家级生态保护红线、省级生态管控区优化调整工作。进一步强化生态保护区域监督管理工作，</w:t>
      </w:r>
      <w:r>
        <w:rPr>
          <w:rFonts w:hint="eastAsia"/>
        </w:rPr>
        <w:t>雨花台区</w:t>
      </w:r>
      <w:r>
        <w:t>先后印发《关于交办雨花台区第一批生态环境风险隐患问题的通知》《关于开展生态保护红线区域违规占用和生态环境破坏问题整改工作的通知》《开展雨花台区国家级生态保护红线和省级生态空间管控区域风险隐患举一反三排查工作的通知》，组织对照问题清单进行全面排查整改及“回头看”，确保全区生态保护区域“面积不减少，性质不改变，功能不降低”。严格按照《南京市生态保护补偿办法》，制定雨花台区生态空间保护区域补偿方案，加强资金监管，确保补偿资金按规定用于生态空间保护区域范围内生态补偿、生态修复、生态保护等工作。</w:t>
      </w:r>
    </w:p>
    <w:p>
      <w:pPr>
        <w:spacing w:line="560" w:lineRule="exact"/>
        <w:ind w:firstLine="561"/>
      </w:pPr>
      <w:r>
        <w:rPr>
          <w:b/>
        </w:rPr>
        <w:t>“双林长”制助力林地保护。</w:t>
      </w:r>
      <w:r>
        <w:t>作为南京的“绿色生态走廊”，雨花台区</w:t>
      </w:r>
      <w:r>
        <w:rPr>
          <w:rFonts w:hint="eastAsia"/>
        </w:rPr>
        <w:t>林木覆盖率</w:t>
      </w:r>
      <w:r>
        <w:t>和绿化覆盖率均居全市前列，2022年雨花台区林草覆盖率为31.46%。健全区、街、社区三级林长制体系，率先</w:t>
      </w:r>
      <w:bookmarkStart w:id="19" w:name="_Hlk154568268"/>
      <w:r>
        <w:rPr>
          <w:rFonts w:hint="eastAsia"/>
        </w:rPr>
        <w:t>试点</w:t>
      </w:r>
      <w:r>
        <w:t>“双林长”模式</w:t>
      </w:r>
      <w:bookmarkEnd w:id="19"/>
      <w:r>
        <w:t>。森林防火、林地管理、林业有害生物防治、古树名木保护、野生动物保护和自然保护地等均纳入林长制信息化管理平台，提升了森林资源现代化管理水平。雨花台区以林长制的落地落实推动实现“林长治”，营造更美更优的绿色生态环境。</w:t>
      </w:r>
    </w:p>
    <w:p>
      <w:pPr>
        <w:spacing w:line="560" w:lineRule="exact"/>
        <w:ind w:firstLine="561"/>
      </w:pPr>
      <w:r>
        <w:rPr>
          <w:b/>
        </w:rPr>
        <w:t>耕地保护工作有序推进。</w:t>
      </w:r>
      <w:r>
        <w:t>优化永久基本农田布局，调整板桥南部永久基本农田，确保雨花新滨江全面发展，释放更多土地空间。完成耕地与永久基本农田保护工作方案修正工作，推进保护责任状签订，层层落实耕地和永久基本农田保护主体责任。</w:t>
      </w:r>
      <w:r>
        <w:rPr>
          <w:bCs/>
          <w:szCs w:val="24"/>
        </w:rPr>
        <w:t>严格管控耕地土壤，对全区耕地土壤做好严格管控，持续巩固雨花台区所有耕地为“优先保护类”成果。</w:t>
      </w:r>
      <w:r>
        <w:t>强化耕地激励性保护，全区耕地保护补贴资金有序发放，按时待补贴资金下发后及时拨付到户。雨花台区荣获2020年度“江苏省自然资源节约集约利用模范县（市、区）”称号。</w:t>
      </w:r>
    </w:p>
    <w:p>
      <w:pPr>
        <w:spacing w:line="560" w:lineRule="exact"/>
        <w:ind w:firstLineChars="200" w:firstLine="560"/>
      </w:pPr>
      <w:r>
        <w:rPr>
          <w:b/>
        </w:rPr>
        <w:t>持续提升生态环境稳定性。</w:t>
      </w:r>
      <w:bookmarkStart w:id="20" w:name="_Hlk154568286"/>
      <w:r>
        <w:t>持续推进长江“十年禁渔”</w:t>
      </w:r>
      <w:bookmarkEnd w:id="20"/>
      <w:r>
        <w:t>，开展春季护鱼专项行动、重点水域“四清四无”、长江禁渔夏秋季专项执法行动、冬季联合专项执法行动、长江商船非法捕捞联合整治等专项联合执法行动，针对重点时段、重点水域、重点发力，有效消除非法捕钓隐患，遏制非法捕钓行为。实现“长江大保护”现代化禁捕监控，在全市率先打造长江岸线全覆盖的智慧禁捕系统，探测雷达、振动光纤、人体引力设备等固定触发感应装置，无人机持续定位自动巡航，配合黑光摄像头、智慧音柱、无线对讲机等，保证岸线监控全覆盖无盲点，获评江苏省农业数字化建设优秀案例。加强长江岸线大保护，充分发挥南京市长江大保护雨花综合执法中心作用，强化滨江岸线生态环境整治，持续改善雨花台区长江岸线环境质量。</w:t>
      </w:r>
    </w:p>
    <w:p>
      <w:pPr>
        <w:pStyle w:val="40"/>
      </w:pPr>
      <w:bookmarkStart w:id="21" w:name="_Toc154688877"/>
      <w:bookmarkStart w:id="22" w:name="_Toc156576355"/>
      <w:r>
        <w:t>四、生态经济发展</w:t>
      </w:r>
      <w:bookmarkEnd w:id="21"/>
      <w:bookmarkEnd w:id="22"/>
    </w:p>
    <w:p>
      <w:pPr>
        <w:spacing w:line="560" w:lineRule="exact"/>
        <w:ind w:firstLine="562"/>
      </w:pPr>
      <w:r>
        <w:rPr>
          <w:b/>
        </w:rPr>
        <w:t>综合实力不断提升。</w:t>
      </w:r>
      <w:r>
        <w:t>2022年雨花台区地区生产总值达到1040.22亿元，软件业务收入2600亿元，同比增长4%。“十三五”期间，高端软件产业加快发展，软件谷综合实力稳居全国同类园区前三强，以南京2%的行政区域面积创造出全市40%、江苏省1/5的软件与信息服务业产值，软件谷获评全国首批国家数字服务出口基地、中国最具活力软件园、全国影响力园区、中国软件名城示范区。</w:t>
      </w:r>
    </w:p>
    <w:p>
      <w:pPr>
        <w:spacing w:line="560" w:lineRule="exact"/>
        <w:ind w:firstLine="562"/>
      </w:pPr>
      <w:r>
        <w:rPr>
          <w:b/>
        </w:rPr>
        <w:t>双创生态特色彰显。</w:t>
      </w:r>
      <w:r>
        <w:t>2017年获评区域类“国家双创示范基地”，积极融入长三角双创示范基地联盟，企业服务和新型研发机构建设模式入选全国双创百佳案例，2018、2020年两次受到国务院督察激励表彰。高成长企业加速汇聚，获评南京市独角兽瞪羚企业培育优秀区。鼓励企业建设公共服务平台，举办软件产业发展暨双创峰会和双创大赛，打造双创服务线上线下平台，举办双创系列主题活动近千场，创新创业环境不断优化，成为全市创新创业最活跃的区域之一。</w:t>
      </w:r>
    </w:p>
    <w:p>
      <w:pPr>
        <w:spacing w:line="560" w:lineRule="exact"/>
        <w:ind w:firstLine="562"/>
        <w:rPr>
          <w:bCs/>
        </w:rPr>
      </w:pPr>
      <w:r>
        <w:rPr>
          <w:b/>
          <w:bCs/>
        </w:rPr>
        <w:t>提升数字经济产业规模。</w:t>
      </w:r>
      <w:r>
        <w:rPr>
          <w:bCs/>
        </w:rPr>
        <w:t>发挥软件和信息服务产业优势，</w:t>
      </w:r>
      <w:bookmarkStart w:id="23" w:name="_Hlk154568332"/>
      <w:r>
        <w:rPr>
          <w:bCs/>
        </w:rPr>
        <w:t>强化“数字经济看雨花”的品牌影响力，聚力打造江苏数字经济创新中心</w:t>
      </w:r>
      <w:bookmarkEnd w:id="23"/>
      <w:r>
        <w:rPr>
          <w:bCs/>
        </w:rPr>
        <w:t>。发挥龙头企业带动作用，持续招引高科技产业项目，围绕其合作企业、上下游企业，分类分项绘制产业招商图谱。充分利用“五日谈”等平台优势，针对各类管理人员开展专题培训，培养数字思维，提高数字素养。增强数字产业化优势，促进软件与信息服务业高端化发展。</w:t>
      </w:r>
    </w:p>
    <w:p>
      <w:pPr>
        <w:spacing w:line="560" w:lineRule="exact"/>
        <w:ind w:firstLineChars="200" w:firstLine="560"/>
      </w:pPr>
      <w:r>
        <w:rPr>
          <w:b/>
          <w:bCs/>
        </w:rPr>
        <w:t>节能降耗工作落到实处。</w:t>
      </w:r>
      <w:r>
        <w:t>推动产业绿色转型升级，大力发展人工智能等新兴产业，全面完成铸造等行业低端低效产能淘汰任务。能源结构持续优化，完成旭建等一批“煤改气”“煤改生物质”工程；依托南京市公共机构能源资源综合管理平台，每月对区级各单位开展单位建筑面积能耗数据跟踪，实时提醒超约束值单位及时调整用能方式，落实节电节能；建成雨花社区卫生服务中心光伏发电项目，充分发挥公共机构节能节电带头示范作用；持续开展能耗紧缺体验活动，引导机关干部用实际行动践行节电降耗。严格执行绿色采购，引导公众优先采购绿色标识产品，逐步提高政府采购中可循环使用的产品、再生产品以及节能、节水、无污染绿色产品的比例，2022年政府绿色采购比例达到80%。</w:t>
      </w:r>
    </w:p>
    <w:p>
      <w:pPr>
        <w:spacing w:line="560" w:lineRule="exact"/>
        <w:ind w:firstLineChars="200" w:firstLine="560"/>
      </w:pPr>
      <w:r>
        <w:rPr>
          <w:b/>
          <w:bCs/>
        </w:rPr>
        <w:t>土地利用提质增效。</w:t>
      </w:r>
      <w:r>
        <w:rPr>
          <w:rFonts w:hint="eastAsia"/>
        </w:rPr>
        <w:t>根据省市统一部署，雨花台区编制完成“十四五”时期低效用地再开发规划（2021-2025）并逐年编制低效用地再开发年度实施计划。2023年9月，南京市入选国家低效用地再开发首批试点城市，雨花台区抓住契机，持续推进低效用地盘活利用工作。加快批而未供和闲置土地清理处置，按时完成南京市下达任务。开展工业企业用地更新调查，逐地块调查工业科研企业的地理空间分布、用地强度、经济发展状况等信息。开展全区产业用地提质增效研究，形成一张图+名录表+情况表+成果图册的一套成果。</w:t>
      </w:r>
    </w:p>
    <w:p>
      <w:pPr>
        <w:pStyle w:val="40"/>
      </w:pPr>
      <w:bookmarkStart w:id="24" w:name="_Toc154688878"/>
      <w:bookmarkStart w:id="25" w:name="_Toc156576356"/>
      <w:r>
        <w:t>五、生态生活改善</w:t>
      </w:r>
      <w:bookmarkEnd w:id="24"/>
      <w:bookmarkEnd w:id="25"/>
    </w:p>
    <w:p>
      <w:pPr>
        <w:spacing w:line="560" w:lineRule="exact"/>
        <w:ind w:firstLineChars="200" w:firstLine="560"/>
      </w:pPr>
      <w:r>
        <w:rPr>
          <w:b/>
        </w:rPr>
        <w:t>城区功能品质持续优化。</w:t>
      </w:r>
      <w:bookmarkStart w:id="26" w:name="_Hlk154568613"/>
      <w:r>
        <w:t>坚持抓整治优生态，老城更新成效显著，新城建设日新月异，功能品质明显提升。</w:t>
      </w:r>
      <w:bookmarkEnd w:id="26"/>
      <w:r>
        <w:t>截至2022年，雨花台区累计开工建设住房851万平方米，累计完成4条主次干道、136条背街小巷、213万平方米建筑立面、110公里河道岸线、73个老旧小区的综合整治，实施城市精细化建设管理项目507个、建成垃圾分类亭房660座、新增共享停车泊位1100余个。“幸福三圈”—— “5分钟社区商业圈”“10分钟文化体育圈”“15分钟健康服务圈”建设初见成效，标准化菜市场达标率达到100%，“西善桥街道智慧社区健身中心”成为全国首批智慧社区健身中心7个试点之一，64个社区实现综合性文化服务中心、社区居家养老服务中心和老年人助餐点全覆盖，获评首批“江苏省基层卫生十强区”，铁心桥、西善桥、赛虹桥社区卫生服务中心被评为“全国优质服务示范社区卫生服务中心”。</w:t>
      </w:r>
    </w:p>
    <w:p>
      <w:pPr>
        <w:spacing w:line="560" w:lineRule="exact"/>
        <w:ind w:firstLineChars="200" w:firstLine="560"/>
      </w:pPr>
      <w:r>
        <w:rPr>
          <w:b/>
        </w:rPr>
        <w:t>农村人居环境整治取得成效。</w:t>
      </w:r>
      <w:r>
        <w:t>2020年起雨花台区开始实施农村人居环境整治三年行动计划，全面推进农房整治、风貌整治、环卫整治、农路建设和公共服务设施整治等工作，全面清理私搭乱建，累计房屋出新1700户约67万平方米，村庄面貌明显改善；完成12.71公里河道清理任务，清理河塘71个，建设污水处理设施18处，</w:t>
      </w:r>
      <w:r>
        <w:rPr>
          <w:rFonts w:hint="eastAsia"/>
        </w:rPr>
        <w:t>完成污水管网铺设39.1公里，从根本上改善了水环境；深入开展厕所革命，累计完成农村户厕无害化改造911个，建设生态卫生公厕18个，解决了户厕脏、群众如厕难问题；新建垃圾分类亭38个，推进了乡风文明。完成全区38个村组人居环境整治，村庄环境明显改善。</w:t>
      </w:r>
    </w:p>
    <w:p>
      <w:pPr>
        <w:spacing w:line="560" w:lineRule="exact"/>
        <w:ind w:firstLineChars="200" w:firstLine="560"/>
      </w:pPr>
      <w:r>
        <w:rPr>
          <w:b/>
        </w:rPr>
        <w:t>海绵城市建设不断推进。</w:t>
      </w:r>
      <w:r>
        <w:t>雨花台区已成立雨花台区海绵城市建设工作领导小组，先后编制《雨花台区海绵城市专项规划》《雨花台区海绵城市建设管理办法》，扎实推进海绵城市建设，提高城市防涝能力，节约水资源，保护水生态环境；明确海绵城市项目建设全周期相关要求，积极会同区级审批部门，加强项目立项环节对于海绵城市建设内容的审核。2017-2022年，雨花台区经市建委立项的雨污分流及管道清疏修缮项目累计57个，立项总金额累计7.11亿元，共实施729个片区，截</w:t>
      </w:r>
      <w:r>
        <w:rPr>
          <w:rFonts w:hint="eastAsia"/>
          <w:lang w:val="en-US" w:eastAsia="zh-CN"/>
        </w:rPr>
        <w:t>至</w:t>
      </w:r>
      <w:r>
        <w:t>目前，56个雨污分流项目均已完成竣工验收。</w:t>
      </w:r>
    </w:p>
    <w:p>
      <w:pPr>
        <w:spacing w:line="560" w:lineRule="exact"/>
        <w:ind w:firstLineChars="200" w:firstLine="560"/>
      </w:pPr>
      <w:r>
        <w:rPr>
          <w:b/>
        </w:rPr>
        <w:t>道路完善助推经济发展。</w:t>
      </w:r>
      <w:r>
        <w:t>围绕“加快构建交通枢纽优势，构建多层次对外交通体系”的总体要求，加快推进一批新建道路，高标准建成余山路、柏山西路、柏山东路、檀山路；加快推进绕城北辅道、岱山西路北延、机场二通道（绕城以北段）等19个项目，有序推进滨江大道雨花段、紫荆花路西延等重点项目。在通过省级“四好农村路”示范区创建的基础上，持续推广“雨路芯程”农村公路品牌。进一步</w:t>
      </w:r>
      <w:bookmarkStart w:id="27" w:name="_Hlk154568725"/>
      <w:r>
        <w:t>完善农村交通基础设施</w:t>
      </w:r>
      <w:bookmarkEnd w:id="27"/>
      <w:r>
        <w:t>，积极争创省级“平安放心路”，创新农村公路日常管理和养护思路，全面推广“路长制”管养模式。</w:t>
      </w:r>
    </w:p>
    <w:p>
      <w:pPr>
        <w:spacing w:line="560" w:lineRule="exact"/>
        <w:ind w:firstLineChars="200" w:firstLine="560"/>
      </w:pPr>
      <w:r>
        <w:rPr>
          <w:b/>
        </w:rPr>
        <w:t>公共交通出行不断优化。</w:t>
      </w:r>
      <w:r>
        <w:rPr>
          <w:rFonts w:hint="eastAsia"/>
        </w:rPr>
        <w:t>在全面调查市民出行特征及意愿的基础上，持续优化雨花台区公交线网及站点。区内公交线路已达107条、线网长度158.2公里，停保场1处，公交枢纽站9处，首末站12处，公交站点475个，2021-2022年共计实施308处公交站台提档升级改造。加快推进轨道交通建设发展，地铁7号线、10号线二期及宁马城际已开工建设。雨花台区共有5条城市轨道交通线路，站点800米覆盖率为35.56%，基本满足所处片区居民的日常出行需求。积极推广新能源汽车在公共交通领域的应用，鼓励公众优先选择步行、骑行或乘坐地铁等公共交通工具出行，鼓励购买小排量、新能源环保车型，养成低碳环保的出行习惯</w:t>
      </w:r>
      <w:r>
        <w:t>。</w:t>
      </w:r>
    </w:p>
    <w:p>
      <w:pPr>
        <w:pStyle w:val="40"/>
      </w:pPr>
      <w:bookmarkStart w:id="28" w:name="_Toc156576357"/>
      <w:bookmarkStart w:id="29" w:name="_Toc154688879"/>
      <w:r>
        <w:t>六、生态文化普及</w:t>
      </w:r>
      <w:bookmarkEnd w:id="28"/>
      <w:bookmarkEnd w:id="29"/>
    </w:p>
    <w:p>
      <w:pPr>
        <w:spacing w:line="560" w:lineRule="exact"/>
        <w:ind w:firstLineChars="200" w:firstLine="560"/>
        <w:rPr>
          <w:b/>
        </w:rPr>
      </w:pPr>
      <w:r>
        <w:rPr>
          <w:b/>
        </w:rPr>
        <w:t>开展“线上”“线下”生态文明宣教。</w:t>
      </w:r>
      <w:bookmarkStart w:id="30" w:name="_Hlk106745063"/>
      <w:r>
        <w:rPr>
          <w:bCs/>
        </w:rPr>
        <w:t>始终抓好“雨花生态环境”双微平台线上宣传力度，2022年综合宣传力度排名全市第一。同时，结合“助企纾困”活动，以“环保大篷车企业行”“三支队伍”等形式深入街道、企业一线开展宣传普法活动，2022年累计各类现场宣教活动13场，指导板桥街道三山公园成功创建“南京市生态环境法治文化教育基地”，为生态文明建设营造良好氛围。</w:t>
      </w:r>
    </w:p>
    <w:p>
      <w:pPr>
        <w:spacing w:line="560" w:lineRule="exact"/>
        <w:ind w:firstLineChars="200" w:firstLine="560"/>
        <w:rPr>
          <w:bCs/>
        </w:rPr>
      </w:pPr>
      <w:bookmarkEnd w:id="30"/>
      <w:r>
        <w:rPr>
          <w:b/>
        </w:rPr>
        <w:t>推进生态文明教育基地建设。</w:t>
      </w:r>
      <w:bookmarkStart w:id="31" w:name="_Hlk106745259"/>
      <w:r>
        <w:t>2010年，南京首家生态文明教育馆坐落于南京市南郊雨花台风景区生态密林区内；2020年以来，雨花台生态环境局深入开展打好污染防治攻坚战，全面打造“普德村路生态文明宣传教育基地”；2022年雨花台“三山矶生态公园”命名为第二批南京市生态环境法治文化宣传教育基地。雨花台区依托教育基地继续深入挖掘、不断更新、完善制度、加强管理，提升服务质量，广泛组织开展形式多样、内容丰富的生态环境法治宣传教育活动，夯实生态文明建设基石，积极培育公民生态文明理念、生态环境法治理念和法治素养。</w:t>
      </w:r>
    </w:p>
    <w:p>
      <w:pPr>
        <w:spacing w:line="560" w:lineRule="exact"/>
        <w:ind w:firstLineChars="200" w:firstLine="560"/>
        <w:rPr>
          <w:bCs/>
        </w:rPr>
      </w:pPr>
      <w:bookmarkEnd w:id="31"/>
      <w:r>
        <w:rPr>
          <w:b/>
        </w:rPr>
        <w:t>丰富生态文化传播形式。</w:t>
      </w:r>
      <w:r>
        <w:rPr>
          <w:bCs/>
        </w:rPr>
        <w:t>扎实推进文体公共基础设施建设,雨花台区图书馆少儿图书室、雨花街道邻里荟文化中心、古雄社区家风家训主题教育馆3个文化空间入选2022年度全省“最美公共文化空间”，是全市入选数量最多的区。加快“红色+工业”旅游发展模式，2020年绿色工厂梅钢工业文化旅游区获得江苏省工业旅游区认定，2021年被授牌江苏省研学旅行基地。全区80个公共文化场馆（团队）入驻“江苏公共文化云”平台，吸引18万余人次在线观看，并在“新浪微博”“在南京”等网络平台直播，共有120万余人次在线观看，生态文化传播形式不断丰富。2023年，中国市辖区旅游综合竞争力百强区排名第27。</w:t>
      </w:r>
    </w:p>
    <w:p>
      <w:pPr>
        <w:pStyle w:val="15"/>
        <w:numPr>
          <w:ilvl w:val="0"/>
          <w:numId w:val="1"/>
        </w:numPr>
        <w:spacing w:line="560" w:lineRule="exact"/>
        <w:jc w:val="center"/>
      </w:pPr>
      <w:bookmarkStart w:id="32" w:name="_Toc156576358"/>
      <w:r>
        <w:t>存在问题</w:t>
      </w:r>
      <w:bookmarkEnd w:id="32"/>
    </w:p>
    <w:p>
      <w:pPr>
        <w:pStyle w:val="40"/>
      </w:pPr>
      <w:bookmarkStart w:id="33" w:name="_Toc156576359"/>
      <w:bookmarkStart w:id="34" w:name="_Toc154688881"/>
      <w:r>
        <w:t>一、生态环境质量持续改善压力大</w:t>
      </w:r>
      <w:bookmarkEnd w:id="33"/>
      <w:bookmarkEnd w:id="34"/>
    </w:p>
    <w:p>
      <w:pPr>
        <w:spacing w:line="560" w:lineRule="exact"/>
        <w:ind w:firstLineChars="200" w:firstLine="560"/>
        <w:rPr>
          <w:szCs w:val="28"/>
        </w:rPr>
      </w:pPr>
      <w:r>
        <w:rPr>
          <w:szCs w:val="28"/>
        </w:rPr>
        <w:t>2022年雨花台区优良天数比例有所下降，六大污染物中主要超标因子为O</w:t>
      </w:r>
      <w:r>
        <w:rPr>
          <w:szCs w:val="28"/>
          <w:vertAlign w:val="subscript"/>
        </w:rPr>
        <w:t>3</w:t>
      </w:r>
      <w:r>
        <w:rPr>
          <w:szCs w:val="28"/>
        </w:rPr>
        <w:t>，PM</w:t>
      </w:r>
      <w:r>
        <w:rPr>
          <w:szCs w:val="28"/>
          <w:vertAlign w:val="subscript"/>
        </w:rPr>
        <w:t>2.5</w:t>
      </w:r>
      <w:r>
        <w:rPr>
          <w:szCs w:val="28"/>
        </w:rPr>
        <w:t>和O</w:t>
      </w:r>
      <w:r>
        <w:rPr>
          <w:szCs w:val="28"/>
          <w:vertAlign w:val="subscript"/>
        </w:rPr>
        <w:t>3</w:t>
      </w:r>
      <w:r>
        <w:rPr>
          <w:szCs w:val="28"/>
        </w:rPr>
        <w:t>污染叠加压力较大。</w:t>
      </w:r>
      <w:r>
        <w:rPr>
          <w:rFonts w:hint="eastAsia"/>
          <w:szCs w:val="28"/>
        </w:rPr>
        <w:t>施工</w:t>
      </w:r>
      <w:r>
        <w:rPr>
          <w:szCs w:val="28"/>
        </w:rPr>
        <w:t>建设扬尘，交通汽车尾气，餐饮业的油烟废气，垃圾收集点的恶臭气体、工业废气等持续考验雨花台区大气污染控制水平，优良空气天数比例持续提升达到上级考核目标存在较大压力；水环境质量实现稳定达标面临挑战，汛期排涝泵站闸内水质偶现超标；土壤固废风险仍需重视，环境污染的源头防控和协同管理需要加强；噪声污染防治进入国家顶层设计，《“十四五”噪声污染防治行动计划》提出到2025年，全国声环境功能区夜间达标率达到85%，雨花台区属于主城区，噪声信访投诉问题较为突出，噪声污染治理面临更大挑战。</w:t>
      </w:r>
    </w:p>
    <w:p>
      <w:pPr>
        <w:pStyle w:val="40"/>
      </w:pPr>
      <w:bookmarkStart w:id="35" w:name="_Toc154688882"/>
      <w:bookmarkStart w:id="36" w:name="_Toc156576360"/>
      <w:r>
        <w:t>二、能耗控制力度仍需加强</w:t>
      </w:r>
      <w:bookmarkEnd w:id="35"/>
      <w:bookmarkEnd w:id="36"/>
    </w:p>
    <w:p>
      <w:pPr>
        <w:spacing w:line="560" w:lineRule="exact"/>
        <w:ind w:firstLineChars="200" w:firstLine="560"/>
        <w:rPr>
          <w:szCs w:val="28"/>
        </w:rPr>
      </w:pPr>
      <w:r>
        <w:rPr>
          <w:szCs w:val="28"/>
        </w:rPr>
        <w:t>由于雨花台区内存在钢铁和电力等高耗能行业企业，2022年规上企业能源消费量和煤炭消费量较2017年增加9.7%和3.5%，随着城市居民用电量持续提升，单位地区生产总值能耗下降存在压力，需把能源节约和能效提升摆在首位，以钢铁和发电2个重点耗能行业为关键，以软件谷、南站片区、开发区和板桥南部4个重点片区低碳转型为引领，深入实施“碳达峰六大行动”，积极探索走好绿色低碳发展之路。</w:t>
      </w:r>
    </w:p>
    <w:p>
      <w:pPr>
        <w:pStyle w:val="40"/>
      </w:pPr>
      <w:bookmarkStart w:id="37" w:name="_Toc156576361"/>
      <w:bookmarkStart w:id="38" w:name="_Toc154688883"/>
      <w:r>
        <w:t>三、生物多样性保护措施亟待丰富</w:t>
      </w:r>
      <w:bookmarkEnd w:id="37"/>
      <w:bookmarkEnd w:id="38"/>
    </w:p>
    <w:p>
      <w:pPr>
        <w:spacing w:line="560" w:lineRule="exact"/>
        <w:ind w:firstLineChars="200" w:firstLine="560"/>
        <w:rPr>
          <w:szCs w:val="28"/>
        </w:rPr>
      </w:pPr>
      <w:r>
        <w:rPr>
          <w:szCs w:val="28"/>
        </w:rPr>
        <w:t>根据《关于进一步加强生物多样性保护的意见》要求：以有效应对生物多样性面临的挑战、全面提升生物多样性保护水平为目标，扎实推进生物多样性保护重大工程，持续加大监督和执法力度，进一步提高保护能力和管理水平，确保重要生态系统、生物物种和生物遗传资源得到全面保护，将生物多样性保护理念融入生态文明建设全过程。目前，雨花台区已开展生物多样性本底调查工作，逐步摸清区域生态本底情况，但全区生态</w:t>
      </w:r>
      <w:r>
        <w:rPr>
          <w:rFonts w:hint="eastAsia"/>
          <w:szCs w:val="28"/>
        </w:rPr>
        <w:t>保护</w:t>
      </w:r>
      <w:r>
        <w:rPr>
          <w:szCs w:val="28"/>
        </w:rPr>
        <w:t>红线、生态空间管控区</w:t>
      </w:r>
      <w:r>
        <w:rPr>
          <w:rFonts w:hint="eastAsia"/>
          <w:szCs w:val="28"/>
        </w:rPr>
        <w:t>域</w:t>
      </w:r>
      <w:r>
        <w:rPr>
          <w:szCs w:val="28"/>
        </w:rPr>
        <w:t>等缺少生物多样性保护系统工作方案，生物多样性保护工程措施亟待丰富，多部门联防联动的长效管理机制有待进一步完善。</w:t>
      </w:r>
    </w:p>
    <w:p>
      <w:pPr>
        <w:pStyle w:val="40"/>
      </w:pPr>
      <w:bookmarkStart w:id="39" w:name="_Toc154688884"/>
      <w:bookmarkStart w:id="40" w:name="_Toc156576362"/>
      <w:r>
        <w:t>四、长江岸线利用强度大</w:t>
      </w:r>
      <w:bookmarkEnd w:id="39"/>
      <w:bookmarkEnd w:id="40"/>
    </w:p>
    <w:p>
      <w:pPr>
        <w:spacing w:line="560" w:lineRule="exact"/>
        <w:ind w:firstLineChars="200" w:firstLine="560"/>
        <w:rPr>
          <w:szCs w:val="28"/>
        </w:rPr>
      </w:pPr>
      <w:r>
        <w:rPr>
          <w:szCs w:val="28"/>
        </w:rPr>
        <w:t>长江（雨花台区段）岸线全长10.77千米，属长江新济洲、梅子洲汊道，生态岸线保有率约36%，企业码头段占总岸线长度约64%，涉及生产企业约35家，长江岸线利用资源强度大，且存在与长江岸线保护和开发利用总体规划不相符的情况，会对长江岸线生态环境造成一定风险。雨花台区优美的滨江风貌亟待充分展示与利用，距离“最活力、最丰富、最便捷”的江城相融目标还有较大差距。</w:t>
      </w:r>
    </w:p>
    <w:p>
      <w:pPr>
        <w:pStyle w:val="40"/>
      </w:pPr>
      <w:bookmarkStart w:id="41" w:name="_Toc154688885"/>
      <w:bookmarkStart w:id="42" w:name="_Toc156576363"/>
      <w:r>
        <w:t>五、环境基础设施建设管理存在短板</w:t>
      </w:r>
      <w:bookmarkEnd w:id="41"/>
      <w:bookmarkEnd w:id="42"/>
    </w:p>
    <w:p>
      <w:pPr>
        <w:autoSpaceDE w:val="0"/>
        <w:autoSpaceDN w:val="0"/>
        <w:adjustRightInd w:val="0"/>
        <w:spacing w:line="560" w:lineRule="exact"/>
        <w:ind w:firstLineChars="200" w:firstLine="560"/>
      </w:pPr>
      <w:r>
        <w:t>雨花台区城市发展进入新的发展阶段，人口密度高与老龄化严重叠加、空间资源瓶颈与宜居环境改善的问题突出，协调、绿色已成为衡量城市发展质量的两大重要指标。全区雨污分流排水机制尚未健全，尤其是部分老城区雨污难以彻底分流，遇较大降雨时易出现生活污水溢流污染等问题；污水收集管网系统不完善，管网破损、堵塞现象仍有发生，设施短板亟需补齐。城市化发展带来的人口高度集聚和快速流动，给生活污水、生活垃圾的收集处理能力带来巨大考验，环境基础设施建设和运维水平相对不足。</w:t>
      </w:r>
    </w:p>
    <w:p>
      <w:pPr>
        <w:pStyle w:val="15"/>
        <w:numPr>
          <w:ilvl w:val="0"/>
          <w:numId w:val="1"/>
        </w:numPr>
        <w:spacing w:line="560" w:lineRule="exact"/>
        <w:jc w:val="center"/>
      </w:pPr>
      <w:bookmarkStart w:id="43" w:name="_Toc156576364"/>
      <w:bookmarkStart w:id="44" w:name="_Hlk59987018"/>
      <w:bookmarkStart w:id="45" w:name="_Toc61972922"/>
      <w:bookmarkEnd w:id="1"/>
      <w:r>
        <w:t>建设机遇</w:t>
      </w:r>
      <w:bookmarkEnd w:id="43"/>
    </w:p>
    <w:p>
      <w:pPr>
        <w:pStyle w:val="40"/>
      </w:pPr>
      <w:bookmarkStart w:id="46" w:name="_Toc154688887"/>
      <w:bookmarkStart w:id="47" w:name="_Toc156576365"/>
      <w:r>
        <w:t>一、生态文明建设战略定力持续加强</w:t>
      </w:r>
      <w:bookmarkEnd w:id="46"/>
      <w:bookmarkEnd w:id="47"/>
    </w:p>
    <w:p>
      <w:pPr>
        <w:spacing w:line="560" w:lineRule="exact"/>
        <w:ind w:firstLine="560"/>
      </w:pPr>
      <w:bookmarkStart w:id="48" w:name="_Hlk91574362"/>
      <w:r>
        <w:t>以习近平同志为核心的党中央高度重视生态文明建设，习近平总书记在全国生态环境保护大会上作重要讲话，为新征程上推进生态文明建设提供了根本遵循和行动指南。</w:t>
      </w:r>
      <w:r>
        <w:rPr>
          <w:rFonts w:hint="eastAsia"/>
        </w:rPr>
        <w:t>党的十八大以来，生态文明建设成为关系中华民族永续发展的根本大计，开展了一系列开创性工作，决心之大、力度之大、成效之大前所未有，生态文明建设从理论到实践都发生了历史性、转折性、全局性变化，实现由重点整治到系统治理的重大转变、由被动应对到主动作为的重大转变、由全球环境治理参与者到引领者的重大转变、由实践探索到科学理论指导的重大转变。</w:t>
      </w:r>
      <w:r>
        <w:t>推进美丽中国建设，必须坚持山水林田湖草沙一体化保护和系统治理，统筹产业结构调整、污染治理、生态保护、应对气候变化，协同推进降碳、减污、扩绿、增长，推进生态优先、节约集约、绿色低碳发展。习近平生态文明思想为新时代全面加强生态环境保护和深入打好污染防治攻坚战提供了思想指引和行动指南，“绿水青山就是金山银山”的理念成为全党全社会的共识，为实现生态环境高水平保护和经济高质量发展提供了理论依据和实践路径，引发的生态红利正在不断释放，绿色浪潮正在兴起，绿色发展方兴未艾。</w:t>
      </w:r>
    </w:p>
    <w:p>
      <w:pPr>
        <w:pStyle w:val="40"/>
      </w:pPr>
      <w:bookmarkStart w:id="49" w:name="_Toc156576366"/>
      <w:bookmarkStart w:id="50" w:name="_Toc154688888"/>
      <w:bookmarkEnd w:id="48"/>
      <w:r>
        <w:t>二、江苏生态文明建设取得的突破性进展</w:t>
      </w:r>
      <w:bookmarkEnd w:id="49"/>
    </w:p>
    <w:p>
      <w:pPr>
        <w:pStyle w:val="45"/>
        <w:spacing w:line="560" w:lineRule="exact"/>
        <w:rPr>
          <w:rFonts w:eastAsia="方正仿宋_GBK"/>
          <w:szCs w:val="21"/>
        </w:rPr>
      </w:pPr>
      <w:r>
        <w:rPr>
          <w:rFonts w:eastAsia="方正仿宋_GBK"/>
          <w:szCs w:val="21"/>
        </w:rPr>
        <w:t>党的十八大以来，习近平总书记四次考察江苏，亲自擘画了“强富美高”新江苏宏伟蓝图。江苏省生态环境保护大会召开，全面总结了江苏生态文明建设取得的突破性进展，全面推进美丽江苏建设进行动员部署。会议提出要更加坚决扛起美丽中国建设的江苏责任，在推进人与自然和谐共生的现代化中走在前做示范。</w:t>
      </w:r>
      <w:bookmarkStart w:id="51" w:name="_Hlk154685498"/>
      <w:r>
        <w:rPr>
          <w:rFonts w:eastAsia="方正仿宋_GBK"/>
          <w:szCs w:val="21"/>
        </w:rPr>
        <w:t>江苏提出“五个之美”——自然生态之美、绿色发展之美、城乡宜居之美、水韵人文之美、区域善治之美，勾勒出了清晰的生态文明建设蓝图。污染防治攻坚进则胜、不进则退，推动实现生态环境改善由量变到质变跨越的新阶段，美丽江苏建设迎来积厚成势、多点突破、全面提速的新阶段。南京市委、市政府高度响应国家和省生态文明建设要求，在加快推进经济社会转型发展的过程中成功创建国家生态市</w:t>
      </w:r>
      <w:bookmarkEnd w:id="51"/>
      <w:r>
        <w:rPr>
          <w:rFonts w:eastAsia="方正仿宋_GBK"/>
          <w:szCs w:val="21"/>
        </w:rPr>
        <w:t>，积极推进辖区内生态文明示范区创建，2017年开始，南京市江宁区、高淳区、溧水区、浦口区</w:t>
      </w:r>
      <w:r>
        <w:rPr>
          <w:rFonts w:eastAsia="方正仿宋_GBK" w:hint="eastAsia"/>
          <w:szCs w:val="21"/>
        </w:rPr>
        <w:t>、六合区</w:t>
      </w:r>
      <w:r>
        <w:rPr>
          <w:rFonts w:eastAsia="方正仿宋_GBK"/>
          <w:szCs w:val="21"/>
        </w:rPr>
        <w:t>先后成功创建国家生态文明建设示范区，</w:t>
      </w:r>
      <w:r>
        <w:rPr>
          <w:rFonts w:eastAsia="方正仿宋_GBK" w:hint="eastAsia"/>
          <w:szCs w:val="21"/>
        </w:rPr>
        <w:t>主城区</w:t>
      </w:r>
      <w:r>
        <w:rPr>
          <w:rFonts w:eastAsia="方正仿宋_GBK"/>
          <w:szCs w:val="21"/>
        </w:rPr>
        <w:t>玄武区、栖霞区</w:t>
      </w:r>
      <w:r>
        <w:rPr>
          <w:rFonts w:eastAsia="方正仿宋_GBK" w:hint="eastAsia"/>
          <w:szCs w:val="21"/>
        </w:rPr>
        <w:t>已获得</w:t>
      </w:r>
      <w:r>
        <w:rPr>
          <w:rFonts w:eastAsia="方正仿宋_GBK"/>
          <w:szCs w:val="21"/>
        </w:rPr>
        <w:t>省级生态文明示范区</w:t>
      </w:r>
      <w:r>
        <w:rPr>
          <w:rFonts w:eastAsia="方正仿宋_GBK" w:hint="eastAsia"/>
          <w:szCs w:val="21"/>
        </w:rPr>
        <w:t>命名</w:t>
      </w:r>
      <w:r>
        <w:rPr>
          <w:rFonts w:eastAsia="方正仿宋_GBK"/>
          <w:szCs w:val="21"/>
        </w:rPr>
        <w:t>，以上均为雨花台区生态文明建设指明了前进方向、提供了宝贵经验。</w:t>
      </w:r>
    </w:p>
    <w:p>
      <w:pPr>
        <w:pStyle w:val="40"/>
      </w:pPr>
      <w:bookmarkStart w:id="52" w:name="_Toc156576367"/>
      <w:r>
        <w:t>三、高质量经济发展为生态文明建设提供动力</w:t>
      </w:r>
      <w:bookmarkEnd w:id="50"/>
      <w:bookmarkEnd w:id="52"/>
    </w:p>
    <w:p>
      <w:pPr>
        <w:autoSpaceDE w:val="0"/>
        <w:autoSpaceDN w:val="0"/>
        <w:adjustRightInd w:val="0"/>
        <w:spacing w:line="560" w:lineRule="exact"/>
        <w:ind w:firstLineChars="200" w:firstLine="560"/>
      </w:pPr>
      <w:r>
        <w:t>当前，经济社会发展进入全面绿色低碳转型、高质量发展与高水平保护良性互动的新阶段，经济发展进入新常态对推动产业转型、调整优化结构提出新要求。新常态下，“调速不减势、量增质更优”成为地区发展的追求和准则。习近平总书记在全国生态环境保护大会上指出应深化人工智能等数字技术应用，构建美丽中国数字化治理体系，建设绿色智慧的数字生态文明。随着</w:t>
      </w:r>
      <w:bookmarkStart w:id="53" w:name="_Hlk154685641"/>
      <w:r>
        <w:t>“全面创新、全域高新”</w:t>
      </w:r>
      <w:bookmarkEnd w:id="53"/>
      <w:r>
        <w:t>新雨花建设的深入推进，全区产业结构优化、区域格局提升、新旧动能转换，正在积蓄高质量发展新的势能，将有力推动雨花数字经济转型发展，促进经济社会高质量发展与生态环境高水平保护、生态文明高水平建设协同并进，走出绿色发展新路子。</w:t>
      </w:r>
    </w:p>
    <w:p>
      <w:pPr>
        <w:pStyle w:val="40"/>
      </w:pPr>
      <w:bookmarkStart w:id="54" w:name="_Toc154688889"/>
      <w:bookmarkStart w:id="55" w:name="_Toc156576368"/>
      <w:r>
        <w:t>四、战略实施为生态文明建设提供组织保障</w:t>
      </w:r>
      <w:bookmarkEnd w:id="54"/>
      <w:bookmarkEnd w:id="55"/>
    </w:p>
    <w:p>
      <w:pPr>
        <w:autoSpaceDE w:val="0"/>
        <w:autoSpaceDN w:val="0"/>
        <w:adjustRightInd w:val="0"/>
        <w:spacing w:line="560" w:lineRule="exact"/>
        <w:ind w:firstLineChars="200" w:firstLine="560"/>
      </w:pPr>
      <w:r>
        <w:t>党中央关于“长三角一体化”战略部署和关于碳达峰和碳中和的战略部署均为加强生态环境共保联治，推进重要生态屏障和生态廊道共同保护，加强大气、水、土壤污染综合防治，加强节能减排降碳区域政策协同，建设区域绿色制造体系以及协同推进应对气候变化与环境治理、生态保护修复提供了重要契机。生态环境机构、生态环境保护综合行政执法改革，使分散的生态环境保护职责与队伍逐步统一，生态环境保护、生态文明建设铁军的能力得到加强。成立生态文明建设领导小组、实施污染防治攻坚目标责任状、“点位长”“河长制”“林长制”等制度确保生态文明建设工作在最高层面得到强力推动，为生态制度、生态安全、生态空间、生态经济、生态生活、生态文化进一步提升优化提供有力组织保障。</w:t>
      </w:r>
    </w:p>
    <w:p>
      <w:pPr>
        <w:pStyle w:val="40"/>
      </w:pPr>
      <w:bookmarkStart w:id="56" w:name="_Toc154688890"/>
      <w:bookmarkStart w:id="57" w:name="_Toc156576369"/>
      <w:r>
        <w:t>五、公众环保意识日益提升</w:t>
      </w:r>
      <w:bookmarkEnd w:id="56"/>
      <w:bookmarkEnd w:id="57"/>
    </w:p>
    <w:p>
      <w:pPr>
        <w:autoSpaceDE w:val="0"/>
        <w:autoSpaceDN w:val="0"/>
        <w:adjustRightInd w:val="0"/>
        <w:spacing w:line="560" w:lineRule="exact"/>
        <w:ind w:firstLineChars="200" w:firstLine="560"/>
      </w:pPr>
      <w:r>
        <w:t>“天蓝、地绿、水清”是美丽中国梦的重要内容，也是人民群众的美好期盼。雨花台区是南京市环保意识相对较高的区，公众对于发展目标的诉求，已超越了单纯的经济收入和物质改善的层面，开始更加关注环境质量和健康生活，相应地对于当前的生态环境的不满足感也会更加强烈，有利于促进社会共建共治环境污染的局面。</w:t>
      </w:r>
    </w:p>
    <w:p>
      <w:pPr>
        <w:pStyle w:val="15"/>
        <w:numPr>
          <w:ilvl w:val="0"/>
          <w:numId w:val="1"/>
        </w:numPr>
        <w:spacing w:line="560" w:lineRule="exact"/>
        <w:jc w:val="center"/>
      </w:pPr>
      <w:bookmarkStart w:id="58" w:name="_Toc156576370"/>
      <w:bookmarkStart w:id="59" w:name="_Hlk91487361"/>
      <w:bookmarkEnd w:id="44"/>
      <w:bookmarkEnd w:id="45"/>
      <w:r>
        <w:t>面临挑战</w:t>
      </w:r>
      <w:bookmarkEnd w:id="58"/>
    </w:p>
    <w:p>
      <w:pPr>
        <w:pStyle w:val="40"/>
      </w:pPr>
      <w:bookmarkStart w:id="60" w:name="_Toc154688892"/>
      <w:bookmarkStart w:id="61" w:name="_Toc156576371"/>
      <w:r>
        <w:t>一、</w:t>
      </w:r>
      <w:bookmarkEnd w:id="60"/>
      <w:r>
        <w:t>结构性、根源性、趋势性压力尚未根本缓解</w:t>
      </w:r>
      <w:bookmarkEnd w:id="61"/>
    </w:p>
    <w:p>
      <w:pPr>
        <w:autoSpaceDE w:val="0"/>
        <w:autoSpaceDN w:val="0"/>
        <w:adjustRightInd w:val="0"/>
        <w:spacing w:line="560" w:lineRule="exact"/>
        <w:ind w:firstLineChars="200" w:firstLine="560"/>
      </w:pPr>
      <w:r>
        <w:t>生态文明建设仍然处于压力叠加、负重前行的关键期。雨花台区位于国土空间开发强度高的地区，自然生态环境呈现出“小斑块”“破碎化”的情况，人多地少、资源缺乏、环境容量小等问题仍是环境保护工作绕不过的“坎”。生态环境保护工作没有完成时，只有进行时，必须</w:t>
      </w:r>
      <w:r>
        <w:rPr>
          <w:rFonts w:hint="eastAsia"/>
        </w:rPr>
        <w:t>以习近平生态文明思想为指导，正确处理好高质量发展和高水平保护的关系、重点攻坚和协同治理的关系、自然恢复和人工修复的关系、外部约束和内生动力的关系、“双碳”承诺和自主行动的关系等五个重大关系，</w:t>
      </w:r>
      <w:r>
        <w:t>以更高站位、更宽视野、更大力度来谋划和推进新征程生态环境保护工作，谱写新时代生态文明建设新篇章。</w:t>
      </w:r>
    </w:p>
    <w:p>
      <w:pPr>
        <w:pStyle w:val="40"/>
      </w:pPr>
      <w:bookmarkStart w:id="62" w:name="_Toc156576372"/>
      <w:bookmarkStart w:id="63" w:name="_Toc154688893"/>
      <w:r>
        <w:t>二、绿色转型进程仍需加快</w:t>
      </w:r>
      <w:bookmarkEnd w:id="62"/>
      <w:bookmarkEnd w:id="63"/>
    </w:p>
    <w:p>
      <w:pPr>
        <w:autoSpaceDE w:val="0"/>
        <w:autoSpaceDN w:val="0"/>
        <w:adjustRightInd w:val="0"/>
        <w:spacing w:line="560" w:lineRule="exact"/>
        <w:ind w:firstLineChars="200" w:firstLine="560"/>
      </w:pPr>
      <w:r>
        <w:t>雨花台区生态环境保护趋势性压力总体上仍处于高位，区域产业结构整体偏软、类型较为单一、污染物减排载体有限。全区煤炭消费总量相对其他中心城区较大，梅钢公司与华润热电均已完成超低排放改造，受钢铁、发电等行业特性限制，减排空间进一步收窄。居民消费规模扩张带来的能耗增加和生活污染上升问题不容忽视，整体经济系统的绿色转型升级进程仍需加快。</w:t>
      </w:r>
    </w:p>
    <w:p>
      <w:pPr>
        <w:pStyle w:val="40"/>
      </w:pPr>
      <w:bookmarkStart w:id="64" w:name="_Toc154688894"/>
      <w:bookmarkStart w:id="65" w:name="_Toc156576373"/>
      <w:r>
        <w:t>三、社会共治体系尚未形成</w:t>
      </w:r>
      <w:bookmarkEnd w:id="64"/>
      <w:bookmarkEnd w:id="65"/>
    </w:p>
    <w:p>
      <w:pPr>
        <w:autoSpaceDE w:val="0"/>
        <w:autoSpaceDN w:val="0"/>
        <w:adjustRightInd w:val="0"/>
        <w:spacing w:line="560" w:lineRule="exact"/>
        <w:ind w:firstLineChars="200" w:firstLine="560"/>
        <w:sectPr>
          <w:headerReference w:type="default" r:id="rId2"/>
          <w:footerReference w:type="default" r:id="rId3"/>
          <w:pgSz w:w="11906" w:h="16838"/>
          <w:pgMar w:top="1418" w:right="1701" w:bottom="1418" w:left="1701" w:header="851" w:footer="992" w:gutter="0"/>
          <w:docGrid w:type="lines" w:linePitch="381" w:charSpace="0"/>
        </w:sectPr>
      </w:pPr>
      <w:bookmarkEnd w:id="59"/>
      <w:r>
        <w:t>雨花台区生态文明建设广度深度仍需加强，生态环境治理更多依靠行政手段，市场化机制还需进一步完善。一些企业法治意识不够强，依法治理环境污染、依法保护生态环境的自觉性不够。公众对高质量的生态环境和优美舒适的人居环境需求越来越强烈，更多体现在对良好生态环境的诉求上，但离真正环境意识的觉醒、全民参与生态文明建设还有较大差距。生态文明建设是一个综合性系统工程，必须着力构建政府、企业、社会组织和公众共同参与的生态环境治理体系，营造社会广泛参与生态文明建设的浓厚氛围。</w:t>
      </w:r>
    </w:p>
    <w:p>
      <w:pPr>
        <w:pStyle w:val="39"/>
        <w:spacing w:line="560" w:lineRule="exact"/>
      </w:pPr>
      <w:bookmarkStart w:id="66" w:name="_Toc156576374"/>
      <w:r>
        <w:t>规划总则</w:t>
      </w:r>
      <w:bookmarkEnd w:id="66"/>
    </w:p>
    <w:p>
      <w:pPr>
        <w:pStyle w:val="15"/>
        <w:numPr>
          <w:ilvl w:val="0"/>
          <w:numId w:val="2"/>
        </w:numPr>
        <w:spacing w:line="560" w:lineRule="exact"/>
        <w:jc w:val="center"/>
      </w:pPr>
      <w:bookmarkStart w:id="67" w:name="_Toc156576375"/>
      <w:bookmarkStart w:id="68" w:name="_Toc117799585"/>
      <w:bookmarkStart w:id="69" w:name="_Hlk91487487"/>
      <w:r>
        <w:t>指导思想</w:t>
      </w:r>
      <w:bookmarkEnd w:id="67"/>
      <w:bookmarkEnd w:id="68"/>
    </w:p>
    <w:p>
      <w:pPr>
        <w:spacing w:line="560" w:lineRule="exact"/>
        <w:ind w:firstLineChars="200" w:firstLine="560"/>
      </w:pPr>
      <w:r>
        <w:rPr>
          <w:rFonts w:hint="eastAsia"/>
        </w:rPr>
        <w:t>生态文明建设是中国特色社会主义事业总体布局的重要组成部分，是关系中华民族永续发展的根本大计，是关系党的使命宗旨的重大</w:t>
      </w:r>
      <w:r>
        <w:rPr>
          <w:rFonts w:hint="eastAsia"/>
          <w:lang w:val="en-US" w:eastAsia="zh-CN"/>
        </w:rPr>
        <w:t>政治</w:t>
      </w:r>
      <w:r>
        <w:rPr>
          <w:rFonts w:hint="eastAsia"/>
        </w:rPr>
        <w:t>问题。</w:t>
      </w:r>
      <w:r>
        <w:t>坚持以习近平新时代中国特色社会主义思想为指导，全面贯彻党的二十大和全国生态环境保护大会精神，牢固树立和践行绿水青山就是金山银山的理念，站在人与自然和谐共生的高度谋划发展。深入贯彻习近平生态文明思想和习近平总书记对江苏工作考察重要指示精神，坚持人与自然和谐共生，统筹推进“五位一体”总体布局，协调推进“四个全面”战略布局，准确把握新发展阶段、深入贯彻新发展理念、主动融入新发展格局；积极响应“美丽江苏”和“数字生态文明”建设，以实现生态环境总体改善为核心，以深入打好污染防治攻坚战为主线，以推进科技创新和绿色发展为支撑，着力把良好生态环境作为转型跨越发展宝贵资本，</w:t>
      </w:r>
      <w:bookmarkStart w:id="70" w:name="_Hlk154685834"/>
      <w:r>
        <w:t>协同推进经济高质量发展和生态环境高水平保护</w:t>
      </w:r>
      <w:bookmarkEnd w:id="70"/>
      <w:r>
        <w:t>，着力打造生态文化品牌，把传承“水韵江苏”独特生态文化作为担当新的文化使命的重要实践，建设好雨花滨江，大力倡导人与自然和谐相处的生态文明价值观，打造“全面创新、全域高新”的新雨花。</w:t>
      </w:r>
    </w:p>
    <w:p>
      <w:pPr>
        <w:pStyle w:val="15"/>
        <w:numPr>
          <w:ilvl w:val="0"/>
          <w:numId w:val="2"/>
        </w:numPr>
        <w:spacing w:line="560" w:lineRule="exact"/>
        <w:jc w:val="center"/>
      </w:pPr>
      <w:bookmarkStart w:id="71" w:name="_Toc156576376"/>
      <w:bookmarkEnd w:id="69"/>
      <w:r>
        <w:t>规划原则</w:t>
      </w:r>
      <w:bookmarkEnd w:id="71"/>
    </w:p>
    <w:p>
      <w:pPr>
        <w:spacing w:line="560" w:lineRule="exact"/>
        <w:ind w:firstLineChars="200" w:firstLine="560"/>
      </w:pPr>
      <w:r>
        <w:rPr>
          <w:b/>
          <w:bCs/>
        </w:rPr>
        <w:t>生态优先，绿色发展。</w:t>
      </w:r>
      <w:r>
        <w:t>坚持人与自然和谐共生，树立和践行“绿水青山就是金山银山”理念，围绕长三角区域一体化发展、“美丽江苏”建设、南京都市圈等重大战略决策部署，牢守绿色本底，打造南京都市休闲“绿廊”，将生态环境保护主动融入经济社会发展全过程，以生态环境高水平保护促进经济高质量发展，不断提升经济社会发展的“绿色含量”。</w:t>
      </w:r>
    </w:p>
    <w:p>
      <w:pPr>
        <w:spacing w:line="560" w:lineRule="exact"/>
        <w:ind w:firstLineChars="200" w:firstLine="560"/>
      </w:pPr>
      <w:r>
        <w:rPr>
          <w:b/>
          <w:bCs/>
        </w:rPr>
        <w:t>问题导向，协同治理。</w:t>
      </w:r>
      <w:r>
        <w:t>以生态环境质量目标为导向，统筹山水林田湖草系统保护修复，推进应对气候变化与环境治理、生态保护修复协同增效，推动生态环境源头治理、系统治理、整体治理。聚焦“老城与工业”新时期复杂生态环境问题和短板，以钢铁、电力等重点行业污染减排为重要抓手，强化多污染物协同控制和区域协同治理，全面改善生态环境质量，着力打造宜居环境。</w:t>
      </w:r>
    </w:p>
    <w:p>
      <w:pPr>
        <w:spacing w:line="560" w:lineRule="exact"/>
        <w:ind w:firstLineChars="200" w:firstLine="560"/>
      </w:pPr>
      <w:r>
        <w:rPr>
          <w:b/>
          <w:bCs/>
        </w:rPr>
        <w:t>重点突破，彰显特色。</w:t>
      </w:r>
      <w:r>
        <w:rPr>
          <w:bCs/>
        </w:rPr>
        <w:t>结合雨花台区“有山有水”“产城交融”“新旧结合”的特点，</w:t>
      </w:r>
      <w:r>
        <w:t>坚持实行最严格的生态环境保护制度，全面加强生态空间、生态经济、生态安全、生态制度、生态文化与生态生活等方面的示范创新，加快推进重点领域、关键环节体制机制改革，完善生态文明领域统筹协调机制，建立健全具有雨花特色、时代特征的生态文明制度体系，建设彰显“江城相容”“数实结合”“古今辉映”特色的新雨花。</w:t>
      </w:r>
    </w:p>
    <w:p>
      <w:pPr>
        <w:spacing w:line="560" w:lineRule="exact"/>
        <w:ind w:firstLineChars="200" w:firstLine="560"/>
      </w:pPr>
      <w:r>
        <w:rPr>
          <w:b/>
          <w:bCs/>
        </w:rPr>
        <w:t>全民行动，共建共享。</w:t>
      </w:r>
      <w:r>
        <w:t>牢固树立生态文明理念，以提高全民综合素质和生活质量为目标，大力弘扬习近平生态文明思想，引导公众积极践行《江苏生态文明20条》，提高社会大众参与生态文明建设的主动性和积极性。增强各类主体保护生态环境的责任感和使命感，建立社会公众参与生态文明建设的有效机制，营造全社会共建共治共享美丽新雨花的浓厚氛围。</w:t>
      </w:r>
    </w:p>
    <w:p>
      <w:pPr>
        <w:pStyle w:val="15"/>
        <w:numPr>
          <w:ilvl w:val="0"/>
          <w:numId w:val="2"/>
        </w:numPr>
        <w:spacing w:line="560" w:lineRule="exact"/>
        <w:jc w:val="center"/>
      </w:pPr>
      <w:bookmarkStart w:id="72" w:name="_Toc156576377"/>
      <w:bookmarkStart w:id="73" w:name="_Toc61972928"/>
      <w:r>
        <w:t>规划范围</w:t>
      </w:r>
      <w:bookmarkEnd w:id="72"/>
    </w:p>
    <w:p>
      <w:pPr>
        <w:spacing w:line="560" w:lineRule="exact"/>
        <w:ind w:firstLineChars="200" w:firstLine="560"/>
      </w:pPr>
      <w:bookmarkEnd w:id="73"/>
      <w:r>
        <w:t>本次规划范围为雨花台区所辖全部行政区域，包括7个街道（雨花街道、赛虹桥街道、铁心桥街道、板桥街道、西善桥街道、梅山街道、古雄街道）和雨花经济开发区，共计64个社区，区域面积132.39平方公里。</w:t>
      </w:r>
    </w:p>
    <w:p>
      <w:pPr>
        <w:pStyle w:val="15"/>
        <w:numPr>
          <w:ilvl w:val="0"/>
          <w:numId w:val="2"/>
        </w:numPr>
        <w:spacing w:line="560" w:lineRule="exact"/>
        <w:jc w:val="center"/>
      </w:pPr>
      <w:bookmarkStart w:id="74" w:name="_Toc156576378"/>
      <w:r>
        <w:t>规划期限</w:t>
      </w:r>
      <w:bookmarkEnd w:id="74"/>
    </w:p>
    <w:p>
      <w:pPr>
        <w:spacing w:line="560" w:lineRule="exact"/>
        <w:ind w:firstLineChars="200" w:firstLine="560"/>
      </w:pPr>
      <w:r>
        <w:t>为指导雨花台区2023-2030年生态文明建设，同时与《雨花台区国民经济和社会发展第十四个五年规划和二〇三五年远景目标纲要》等规划具有较好的衔接性，本次规划时间安排如下：</w:t>
      </w:r>
    </w:p>
    <w:p>
      <w:pPr>
        <w:spacing w:line="560" w:lineRule="exact"/>
        <w:ind w:firstLineChars="200" w:firstLine="560"/>
      </w:pPr>
      <w:r>
        <w:t>规划基准年：2022年</w:t>
      </w:r>
    </w:p>
    <w:p>
      <w:pPr>
        <w:spacing w:line="560" w:lineRule="exact"/>
        <w:ind w:firstLineChars="200" w:firstLine="560"/>
      </w:pPr>
      <w:r>
        <w:t>规划期限：2023年-2030年（近期：2023-2025年；远期：2026-2030年）</w:t>
      </w:r>
    </w:p>
    <w:p>
      <w:pPr>
        <w:pStyle w:val="15"/>
        <w:numPr>
          <w:ilvl w:val="0"/>
          <w:numId w:val="2"/>
        </w:numPr>
        <w:spacing w:line="560" w:lineRule="exact"/>
        <w:jc w:val="center"/>
      </w:pPr>
      <w:bookmarkStart w:id="75" w:name="_Toc156576379"/>
      <w:r>
        <w:t>规划目标</w:t>
      </w:r>
      <w:bookmarkEnd w:id="75"/>
    </w:p>
    <w:p>
      <w:pPr>
        <w:pStyle w:val="40"/>
      </w:pPr>
      <w:bookmarkStart w:id="76" w:name="_Toc117799590"/>
      <w:bookmarkStart w:id="77" w:name="_Toc156576380"/>
      <w:bookmarkStart w:id="78" w:name="_Toc154688901"/>
      <w:bookmarkStart w:id="79" w:name="_Hlk91507386"/>
      <w:r>
        <w:t>一、总体目标</w:t>
      </w:r>
      <w:bookmarkEnd w:id="76"/>
      <w:bookmarkEnd w:id="77"/>
      <w:bookmarkEnd w:id="78"/>
    </w:p>
    <w:p>
      <w:pPr>
        <w:pStyle w:val="38"/>
        <w:spacing w:line="560" w:lineRule="exact"/>
      </w:pPr>
      <w:r>
        <w:rPr>
          <w:rFonts w:hint="eastAsia"/>
        </w:rPr>
        <w:t>持续深入打好污染防治攻坚战，加快推动发展方式绿色低碳转型，着力提升生态系统多样性、稳定性、持续性，积极稳妥推进碳达峰碳中和，守牢美丽中国、美丽雨花建设安全底线，健全美丽中国、美丽雨花建设保障体系。</w:t>
      </w:r>
      <w:r>
        <w:t>到2030年，生态环境质量持续改善，资源能源配置更加合理、利用效率大幅提高，污染物排放总量持续下降，生态安全屏障更加牢固，生态环境治理体系和治理能力现代化建设迈上新台阶，生态文明理念深入人心，生产生活方式绿色转型成效显著，人与自然和谐共生。</w:t>
      </w:r>
    </w:p>
    <w:p>
      <w:pPr>
        <w:pStyle w:val="40"/>
      </w:pPr>
      <w:bookmarkStart w:id="80" w:name="_Toc154688902"/>
      <w:bookmarkStart w:id="81" w:name="_Toc156576381"/>
      <w:bookmarkEnd w:id="79"/>
      <w:r>
        <w:t>二、近期目标（2023-2025年）</w:t>
      </w:r>
      <w:bookmarkEnd w:id="80"/>
      <w:bookmarkEnd w:id="81"/>
    </w:p>
    <w:p>
      <w:pPr>
        <w:spacing w:line="560" w:lineRule="exact"/>
        <w:ind w:firstLineChars="200" w:firstLine="560"/>
      </w:pPr>
      <w:r>
        <w:t>到2025年，全区生态文明建设取得显著成效，形成生态空间地绿水秀、生态经济绿色发展、生态环境稳步改善、生态生活幸福健康、生态文化先进文明、生态制度基本健全的生态文明建设良好局面，2024年创成省级生态文明建设示范区，2025年创成国家生态文明建设示范区。</w:t>
      </w:r>
    </w:p>
    <w:p>
      <w:pPr>
        <w:spacing w:line="560" w:lineRule="exact"/>
        <w:ind w:firstLineChars="200" w:firstLine="560"/>
      </w:pPr>
      <w:r>
        <w:rPr>
          <w:b/>
          <w:bCs/>
        </w:rPr>
        <w:t>——生态文明</w:t>
      </w:r>
      <w:r>
        <w:rPr>
          <w:rFonts w:hint="eastAsia"/>
          <w:b/>
          <w:bCs/>
        </w:rPr>
        <w:t>责任制度明确</w:t>
      </w:r>
      <w:r>
        <w:rPr>
          <w:b/>
          <w:bCs/>
        </w:rPr>
        <w:t>。</w:t>
      </w:r>
      <w:r>
        <w:t>持续提高全区上下对生态文明建设的重视程度，领导干部生态文明意识显著增强，“三线一单”、自然资源资产离任审计、生态环境损害赔偿与责任追究等配套生态文明制度不断完善，生态环境治理体系和治理能力现代化建设取得新突破。</w:t>
      </w:r>
    </w:p>
    <w:p>
      <w:pPr>
        <w:spacing w:line="560" w:lineRule="exact"/>
        <w:ind w:firstLineChars="200" w:firstLine="560"/>
      </w:pPr>
      <w:r>
        <w:rPr>
          <w:b/>
          <w:bCs/>
        </w:rPr>
        <w:t>——生态环境质量持续改善。</w:t>
      </w:r>
      <w:r>
        <w:t>主要污染物排放总量进一步降低，空气环境质量稳定达标，PM</w:t>
      </w:r>
      <w:r>
        <w:rPr>
          <w:vertAlign w:val="subscript"/>
        </w:rPr>
        <w:t>2.5</w:t>
      </w:r>
      <w:r>
        <w:t>年均浓度达市定目标。水环境质量高水平达标，地表水省考以上断面达到或优于Ⅲ类水比例达到100%。土壤安全利用水平得到巩固提升，受污染耕地安全利用率达到95%以上，重点建设用地得到安全利用。固体废物和环境风险防范能力进一步提高，核与辐射安全监管能力持续加强，生态环境风险防控体系更加健全。</w:t>
      </w:r>
    </w:p>
    <w:p>
      <w:pPr>
        <w:spacing w:line="560" w:lineRule="exact"/>
        <w:ind w:firstLineChars="200" w:firstLine="560"/>
      </w:pPr>
      <w:r>
        <w:rPr>
          <w:b/>
          <w:bCs/>
        </w:rPr>
        <w:t>——生态安全屏障更加牢固。</w:t>
      </w:r>
      <w:r>
        <w:t>全区国土空间开发保护格局得到优化，生态空间得到刚性保护，山水林田湖草系统修复稳步推进，生物多样性保护与监管能力持续提升，生态系统稳定性显著提升，林木覆盖率保持在31.5%以上</w:t>
      </w:r>
      <w:r>
        <w:rPr>
          <w:rFonts w:hint="eastAsia"/>
        </w:rPr>
        <w:t>，生态系统多样性、稳定性、持续性持续优化。</w:t>
      </w:r>
    </w:p>
    <w:p>
      <w:pPr>
        <w:spacing w:line="560" w:lineRule="exact"/>
        <w:ind w:firstLineChars="200" w:firstLine="560"/>
      </w:pPr>
      <w:r>
        <w:rPr>
          <w:b/>
          <w:bCs/>
        </w:rPr>
        <w:t>——绿色生产方式全面转型。</w:t>
      </w:r>
      <w:r>
        <w:t>资源能源节约集约利用水平得到提升，能源消费结构持续优化，单位地区生产总值能耗和用水量完成上级规定目标，一般工业固废综合利用率保持稳定。产业结构绿色转型，清洁生产水平全面提高，绿色交通体系不断完善，绿色发展新动能更加强劲。</w:t>
      </w:r>
    </w:p>
    <w:p>
      <w:pPr>
        <w:spacing w:line="560" w:lineRule="exact"/>
        <w:ind w:firstLineChars="200" w:firstLine="560"/>
      </w:pPr>
      <w:r>
        <w:rPr>
          <w:b/>
          <w:bCs/>
        </w:rPr>
        <w:t>——城乡人居环境明显改善。</w:t>
      </w:r>
      <w:r>
        <w:t>城乡生活污水收集处理能力、生活垃圾分类收集能力持续提升，建成区50%以上的面积达到海绵城市建设目标要求，新型基础设施建设和场景应用加快，绿色消费、节能办公、低碳出行理念深入人心，构建幸福宜居的共享城区样板。</w:t>
      </w:r>
    </w:p>
    <w:p>
      <w:pPr>
        <w:spacing w:line="560" w:lineRule="exact"/>
        <w:ind w:firstLineChars="200" w:firstLine="560"/>
      </w:pPr>
      <w:r>
        <w:rPr>
          <w:b/>
          <w:bCs/>
        </w:rPr>
        <w:t>——共建共享意识不断加强。</w:t>
      </w:r>
      <w:r>
        <w:t>生态文旅融合发展水平持续提升，生态环境信息公开率保持100%，解决群众关心的环境问题，公众对生态文明建设的满意度和参与度不断提升，营造全社会参与生态文明建设的良好氛围。</w:t>
      </w:r>
    </w:p>
    <w:p>
      <w:pPr>
        <w:pStyle w:val="40"/>
      </w:pPr>
      <w:bookmarkStart w:id="82" w:name="_Toc154688903"/>
      <w:bookmarkStart w:id="83" w:name="_Toc156576382"/>
      <w:r>
        <w:t>三、远期目标（2026-2030年）</w:t>
      </w:r>
      <w:bookmarkEnd w:id="82"/>
      <w:bookmarkEnd w:id="83"/>
    </w:p>
    <w:p>
      <w:pPr>
        <w:spacing w:line="560" w:lineRule="exact"/>
        <w:ind w:firstLineChars="200" w:firstLine="560"/>
      </w:pPr>
      <w:r>
        <w:t>生产、生活、生态空间布局进一步优化，开放约6公里长江生态生活岸线，长江生态岸线保有率达50%以上；生态系统稳定性和服务功能显著增强；生态环境质量进一步提升，空气清新、水体洁净、土壤安全、生态良好、人居整洁基本实现，生态环境质量全面达标，有效构建城市固体废物信息化治理“一张网”，建成雨花特色“无废城区”，城市建成区80%以上的面积达到海绵城市建设目标要求；产业绿色化、集聚化、规模化发展，生态经济活力和产业创新水平不断提升，“数字生态文明”建设初见成效；碳排放强度进一步下降，碳排放总量趋近峰值；居民广泛形成绿色生产生活方式，生态环境治理体系和治理能力现代化水平逐步提高，群众的幸福感、安全感、获得感显著增强。</w:t>
      </w:r>
    </w:p>
    <w:p>
      <w:pPr>
        <w:pStyle w:val="15"/>
        <w:numPr>
          <w:ilvl w:val="0"/>
          <w:numId w:val="2"/>
        </w:numPr>
        <w:spacing w:line="560" w:lineRule="exact"/>
        <w:jc w:val="center"/>
      </w:pPr>
      <w:bookmarkStart w:id="84" w:name="_Toc156576383"/>
      <w:bookmarkStart w:id="85" w:name="_Hlk530992718"/>
      <w:bookmarkStart w:id="86" w:name="_Hlk91487570"/>
      <w:r>
        <w:t>建设指标</w:t>
      </w:r>
      <w:bookmarkEnd w:id="84"/>
    </w:p>
    <w:p>
      <w:pPr>
        <w:spacing w:line="560" w:lineRule="exact"/>
        <w:ind w:firstLineChars="200" w:firstLine="560"/>
      </w:pPr>
      <w:bookmarkStart w:id="87" w:name="_Hlk154686281"/>
      <w:bookmarkEnd w:id="85"/>
      <w:r>
        <w:t>以</w:t>
      </w:r>
      <w:r>
        <w:rPr>
          <w:rFonts w:hint="eastAsia"/>
        </w:rPr>
        <w:t>环办生态〔202</w:t>
      </w:r>
      <w:r>
        <w:t>4</w:t>
      </w:r>
      <w:r>
        <w:rPr>
          <w:rFonts w:hint="eastAsia"/>
        </w:rPr>
        <w:t>〕4号文件</w:t>
      </w:r>
      <w:r>
        <w:t>《国家生态文明示范</w:t>
      </w:r>
      <w:r>
        <w:rPr>
          <w:rFonts w:hint="eastAsia"/>
        </w:rPr>
        <w:t>区（县）建设指标》</w:t>
      </w:r>
      <w:r>
        <w:t>为基础</w:t>
      </w:r>
      <w:bookmarkEnd w:id="87"/>
      <w:r>
        <w:t>，结合雨花台区生态文明建设实际，建立涵盖各个领域、约束和引导性相结合的指标体系。国家指标体系包含对</w:t>
      </w:r>
      <w:r>
        <w:rPr>
          <w:rFonts w:hint="eastAsia"/>
        </w:rPr>
        <w:t>较大面积农村黑臭水体消除率、草原综合植被盖度、农田灌溉水有效利用系数、规模以下畜禽粪污集中收运利用体系等</w:t>
      </w:r>
      <w:r>
        <w:t>指标，</w:t>
      </w:r>
      <w:r>
        <w:rPr>
          <w:rFonts w:hint="eastAsia"/>
        </w:rPr>
        <w:t>该</w:t>
      </w:r>
      <w:r>
        <w:t>部分指标雨花台区</w:t>
      </w:r>
      <w:r>
        <w:rPr>
          <w:rFonts w:hint="eastAsia"/>
        </w:rPr>
        <w:t>不涉及，</w:t>
      </w:r>
      <w:r>
        <w:t>不能完全适用，因此本规划删除了部分指标，增加了针对雨花台区生态文明建设的特色考核指标。</w:t>
      </w:r>
    </w:p>
    <w:p>
      <w:pPr>
        <w:sectPr>
          <w:pgSz w:w="11906" w:h="16838"/>
          <w:pgMar w:top="1440" w:right="1800" w:bottom="1440" w:left="1800" w:header="851" w:footer="992" w:gutter="0"/>
          <w:docGrid w:type="lines" w:linePitch="312" w:charSpace="0"/>
        </w:sectPr>
      </w:pPr>
      <w:bookmarkEnd w:id="86"/>
    </w:p>
    <w:p>
      <w:pPr>
        <w:ind w:firstLine="562"/>
        <w:jc w:val="center"/>
        <w:rPr>
          <w:b/>
        </w:rPr>
      </w:pPr>
      <w:bookmarkStart w:id="88" w:name="_Hlk522633367"/>
      <w:bookmarkStart w:id="89" w:name="_Hlk107987248"/>
      <w:r>
        <w:rPr>
          <w:b/>
        </w:rPr>
        <w:t>表1  雨花台区生态文明建设指标体系</w:t>
      </w:r>
    </w:p>
    <w:tbl>
      <w:tblPr>
        <w:jc w:val="left"/>
        <w:tblInd w:w="0" w:type="dxa"/>
        <w:tblW w:w="140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28" w:type="dxa"/>
          <w:bottom w:w="0" w:type="dxa"/>
          <w:right w:w="28" w:type="dxa"/>
        </w:tblCellMar>
      </w:tblPr>
      <w:tblGrid>
        <w:gridCol w:w="594"/>
        <w:gridCol w:w="992"/>
        <w:gridCol w:w="664"/>
        <w:gridCol w:w="1422"/>
        <w:gridCol w:w="2550"/>
        <w:gridCol w:w="709"/>
        <w:gridCol w:w="1276"/>
        <w:gridCol w:w="1276"/>
        <w:gridCol w:w="1134"/>
        <w:gridCol w:w="1275"/>
        <w:gridCol w:w="1134"/>
        <w:gridCol w:w="993"/>
      </w:tblGrid>
      <w:tr>
        <w:trPr>
          <w:trHeight w:val="340"/>
          <w:tblHeader/>
        </w:trPr>
        <w:tc>
          <w:tcPr>
            <w:tcW w:w="59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spacing w:line="240" w:lineRule="auto"/>
              <w:jc w:val="center"/>
              <w:rPr>
                <w:b/>
                <w:bCs/>
                <w:sz w:val="21"/>
              </w:rPr>
            </w:pPr>
            <w:r>
              <w:rPr>
                <w:b/>
                <w:bCs/>
                <w:sz w:val="21"/>
              </w:rPr>
              <w:t>领域</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spacing w:line="240" w:lineRule="auto"/>
              <w:jc w:val="center"/>
              <w:rPr>
                <w:b/>
                <w:bCs/>
                <w:sz w:val="21"/>
              </w:rPr>
            </w:pPr>
            <w:r>
              <w:rPr>
                <w:b/>
                <w:bCs/>
                <w:sz w:val="21"/>
              </w:rPr>
              <w:t>任务</w:t>
            </w:r>
          </w:p>
        </w:tc>
        <w:tc>
          <w:tcPr>
            <w:tcW w:w="66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spacing w:line="240" w:lineRule="auto"/>
              <w:jc w:val="center"/>
              <w:rPr>
                <w:b/>
                <w:bCs/>
                <w:sz w:val="21"/>
              </w:rPr>
            </w:pPr>
            <w:r>
              <w:rPr>
                <w:b/>
                <w:bCs/>
                <w:sz w:val="21"/>
              </w:rPr>
              <w:t>序号</w:t>
            </w:r>
          </w:p>
        </w:tc>
        <w:tc>
          <w:tcPr>
            <w:tcW w:w="3972"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spacing w:line="240" w:lineRule="auto"/>
              <w:jc w:val="center"/>
              <w:rPr>
                <w:b/>
                <w:bCs/>
                <w:sz w:val="21"/>
              </w:rPr>
            </w:pPr>
            <w:r>
              <w:rPr>
                <w:b/>
                <w:bCs/>
                <w:sz w:val="21"/>
              </w:rPr>
              <w:t>指标名称</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spacing w:line="240" w:lineRule="auto"/>
              <w:jc w:val="center"/>
              <w:rPr>
                <w:b/>
                <w:bCs/>
                <w:sz w:val="21"/>
              </w:rPr>
            </w:pPr>
            <w:r>
              <w:rPr>
                <w:b/>
                <w:bCs/>
                <w:sz w:val="21"/>
              </w:rPr>
              <w:t>单位</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spacing w:line="240" w:lineRule="auto"/>
              <w:jc w:val="center"/>
              <w:rPr>
                <w:b/>
                <w:bCs/>
                <w:sz w:val="21"/>
              </w:rPr>
            </w:pPr>
            <w:r>
              <w:rPr>
                <w:b/>
                <w:bCs/>
                <w:sz w:val="21"/>
              </w:rPr>
              <w:t>指标值</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spacing w:line="240" w:lineRule="auto"/>
              <w:jc w:val="center"/>
              <w:rPr>
                <w:b/>
                <w:bCs/>
                <w:sz w:val="21"/>
              </w:rPr>
            </w:pPr>
            <w:r>
              <w:rPr>
                <w:b/>
                <w:bCs/>
                <w:sz w:val="21"/>
              </w:rPr>
              <w:t>现状值</w:t>
            </w:r>
          </w:p>
        </w:tc>
        <w:tc>
          <w:tcPr>
            <w:tcW w:w="2409" w:type="dxa"/>
            <w:gridSpan w:val="2"/>
            <w:tcBorders>
              <w:top w:val="single" w:sz="4" w:space="0" w:color="auto"/>
              <w:left w:val="single" w:sz="4" w:space="0" w:color="auto"/>
              <w:bottom w:val="single" w:sz="4" w:space="0" w:color="auto"/>
              <w:right w:val="single" w:sz="4" w:space="0" w:color="auto"/>
            </w:tcBorders>
            <w:noWrap/>
          </w:tcPr>
          <w:p>
            <w:pPr>
              <w:widowControl/>
              <w:spacing w:line="240" w:lineRule="auto"/>
              <w:jc w:val="center"/>
              <w:rPr>
                <w:b/>
                <w:bCs/>
                <w:sz w:val="21"/>
              </w:rPr>
            </w:pPr>
            <w:r>
              <w:rPr>
                <w:b/>
                <w:bCs/>
                <w:sz w:val="21"/>
              </w:rPr>
              <w:t>目标值</w:t>
            </w:r>
          </w:p>
        </w:tc>
        <w:tc>
          <w:tcPr>
            <w:tcW w:w="1134" w:type="dxa"/>
            <w:vMerge w:val="restart"/>
            <w:tcBorders>
              <w:top w:val="single" w:sz="4" w:space="0" w:color="auto"/>
              <w:left w:val="single" w:sz="4" w:space="0" w:color="auto"/>
              <w:bottom w:val="single" w:sz="4" w:space="0" w:color="auto"/>
              <w:right w:val="single" w:sz="4" w:space="0" w:color="auto"/>
            </w:tcBorders>
            <w:noWrap/>
            <w:vAlign w:val="center"/>
          </w:tcPr>
          <w:p>
            <w:pPr>
              <w:widowControl/>
              <w:spacing w:line="240" w:lineRule="auto"/>
              <w:jc w:val="center"/>
              <w:rPr>
                <w:b/>
                <w:bCs/>
                <w:sz w:val="21"/>
              </w:rPr>
            </w:pPr>
            <w:r>
              <w:rPr>
                <w:b/>
                <w:bCs/>
                <w:sz w:val="21"/>
              </w:rPr>
              <w:t>责任</w:t>
            </w:r>
          </w:p>
          <w:p>
            <w:pPr>
              <w:widowControl/>
              <w:spacing w:line="240" w:lineRule="auto"/>
              <w:jc w:val="center"/>
              <w:rPr>
                <w:b/>
                <w:bCs/>
                <w:sz w:val="21"/>
              </w:rPr>
            </w:pPr>
            <w:r>
              <w:rPr>
                <w:b/>
                <w:bCs/>
                <w:sz w:val="21"/>
              </w:rPr>
              <w:t>部门</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spacing w:line="240" w:lineRule="auto"/>
              <w:jc w:val="center"/>
              <w:rPr>
                <w:b/>
                <w:bCs/>
                <w:sz w:val="21"/>
              </w:rPr>
            </w:pPr>
            <w:r>
              <w:rPr>
                <w:b/>
                <w:bCs/>
                <w:sz w:val="21"/>
              </w:rPr>
              <w:t>达标</w:t>
            </w:r>
          </w:p>
          <w:p>
            <w:pPr>
              <w:widowControl/>
              <w:spacing w:line="240" w:lineRule="auto"/>
              <w:jc w:val="center"/>
              <w:rPr>
                <w:b/>
                <w:bCs/>
                <w:sz w:val="21"/>
              </w:rPr>
            </w:pPr>
            <w:r>
              <w:rPr>
                <w:b/>
                <w:bCs/>
                <w:sz w:val="21"/>
              </w:rPr>
              <w:t>情况</w:t>
            </w:r>
          </w:p>
        </w:tc>
      </w:tr>
      <w:tr>
        <w:trPr>
          <w:trHeight w:val="340"/>
          <w:tblHeader/>
        </w:trPr>
        <w:tc>
          <w:tcPr>
            <w:tcW w:w="594" w:type="dxa"/>
            <w:vMerge/>
            <w:tcBorders>
              <w:top w:val="single" w:sz="4" w:space="0" w:color="auto"/>
              <w:left w:val="single" w:sz="4" w:space="0" w:color="auto"/>
              <w:bottom w:val="single" w:sz="4" w:space="0" w:color="auto"/>
              <w:right w:val="single" w:sz="4" w:space="0" w:color="auto"/>
            </w:tcBorders>
            <w:shd w:val="clear" w:color="auto" w:fill="auto"/>
            <w:noWrap/>
            <w:vAlign w:val="center"/>
          </w:tcPr>
          <w:p/>
        </w:tc>
        <w:tc>
          <w:tcPr>
            <w:tcW w:w="992" w:type="dxa"/>
            <w:vMerge/>
            <w:tcBorders>
              <w:top w:val="single" w:sz="4" w:space="0" w:color="auto"/>
              <w:left w:val="single" w:sz="4" w:space="0" w:color="auto"/>
              <w:bottom w:val="single" w:sz="4" w:space="0" w:color="auto"/>
              <w:right w:val="single" w:sz="4" w:space="0" w:color="auto"/>
            </w:tcBorders>
            <w:shd w:val="clear" w:color="auto" w:fill="auto"/>
            <w:noWrap/>
            <w:vAlign w:val="center"/>
          </w:tcPr>
          <w:p/>
        </w:tc>
        <w:tc>
          <w:tcPr>
            <w:tcW w:w="664" w:type="dxa"/>
            <w:vMerge/>
            <w:tcBorders>
              <w:top w:val="single" w:sz="4" w:space="0" w:color="auto"/>
              <w:left w:val="single" w:sz="4" w:space="0" w:color="auto"/>
              <w:bottom w:val="single" w:sz="4" w:space="0" w:color="auto"/>
              <w:right w:val="single" w:sz="4" w:space="0" w:color="auto"/>
            </w:tcBorders>
            <w:shd w:val="clear" w:color="auto" w:fill="auto"/>
            <w:noWrap/>
            <w:vAlign w:val="center"/>
          </w:tcPr>
          <w:p/>
        </w:tc>
        <w:tc>
          <w:tcPr>
            <w:tcW w:w="3972" w:type="dxa"/>
            <w:gridSpan w:val="2"/>
            <w:vMerge/>
            <w:tcBorders>
              <w:top w:val="single" w:sz="4" w:space="0" w:color="auto"/>
              <w:left w:val="single" w:sz="4" w:space="0" w:color="auto"/>
              <w:bottom w:val="single" w:sz="4" w:space="0" w:color="auto"/>
              <w:right w:val="single" w:sz="4" w:space="0" w:color="auto"/>
            </w:tcBorders>
            <w:shd w:val="clear" w:color="auto" w:fill="auto"/>
            <w:noWrap/>
            <w:vAlign w:val="center"/>
          </w:tcPr>
          <w:p/>
        </w:tc>
        <w:tc>
          <w:tcPr>
            <w:tcW w:w="709" w:type="dxa"/>
            <w:vMerge/>
            <w:tcBorders>
              <w:top w:val="single" w:sz="4" w:space="0" w:color="auto"/>
              <w:left w:val="single" w:sz="4" w:space="0" w:color="auto"/>
              <w:bottom w:val="single" w:sz="4" w:space="0" w:color="auto"/>
              <w:right w:val="single" w:sz="4" w:space="0" w:color="auto"/>
            </w:tcBorders>
            <w:shd w:val="clear" w:color="auto" w:fill="auto"/>
            <w:noWrap/>
            <w:vAlign w:val="center"/>
          </w:tcPr>
          <w:p/>
        </w:tc>
        <w:tc>
          <w:tcPr>
            <w:tcW w:w="1276" w:type="dxa"/>
            <w:vMerge/>
            <w:tcBorders>
              <w:top w:val="single" w:sz="4" w:space="0" w:color="auto"/>
              <w:left w:val="single" w:sz="4" w:space="0" w:color="auto"/>
              <w:bottom w:val="single" w:sz="4" w:space="0" w:color="auto"/>
              <w:right w:val="single" w:sz="4" w:space="0" w:color="auto"/>
            </w:tcBorders>
            <w:shd w:val="clear" w:color="auto" w:fill="auto"/>
            <w:noWrap/>
            <w:vAlign w:val="center"/>
          </w:tcP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pPr>
              <w:widowControl/>
              <w:spacing w:line="240" w:lineRule="auto"/>
              <w:jc w:val="center"/>
              <w:rPr>
                <w:b/>
                <w:bCs/>
                <w:sz w:val="21"/>
              </w:rPr>
            </w:pPr>
            <w:r>
              <w:rPr>
                <w:b/>
                <w:bCs/>
                <w:sz w:val="21"/>
              </w:rPr>
              <w:t>2022年</w:t>
            </w:r>
          </w:p>
        </w:tc>
        <w:tc>
          <w:tcPr>
            <w:tcW w:w="1134" w:type="dxa"/>
            <w:tcBorders>
              <w:top w:val="single" w:sz="4" w:space="0" w:color="auto"/>
              <w:left w:val="single" w:sz="4" w:space="0" w:color="auto"/>
              <w:bottom w:val="single" w:sz="4" w:space="0" w:color="auto"/>
              <w:right w:val="single" w:sz="4" w:space="0" w:color="auto"/>
            </w:tcBorders>
            <w:noWrap/>
          </w:tcPr>
          <w:p>
            <w:pPr>
              <w:widowControl/>
              <w:spacing w:line="240" w:lineRule="auto"/>
              <w:jc w:val="center"/>
              <w:rPr>
                <w:b/>
                <w:bCs/>
                <w:sz w:val="21"/>
              </w:rPr>
            </w:pPr>
            <w:r>
              <w:rPr>
                <w:b/>
                <w:bCs/>
                <w:sz w:val="21"/>
              </w:rPr>
              <w:t>2025年</w:t>
            </w:r>
          </w:p>
        </w:tc>
        <w:tc>
          <w:tcPr>
            <w:tcW w:w="1275" w:type="dxa"/>
            <w:tcBorders>
              <w:top w:val="single" w:sz="4" w:space="0" w:color="auto"/>
              <w:left w:val="single" w:sz="4" w:space="0" w:color="auto"/>
              <w:bottom w:val="single" w:sz="4" w:space="0" w:color="auto"/>
              <w:right w:val="single" w:sz="4" w:space="0" w:color="auto"/>
            </w:tcBorders>
            <w:noWrap/>
          </w:tcPr>
          <w:p>
            <w:pPr>
              <w:widowControl/>
              <w:spacing w:line="240" w:lineRule="auto"/>
              <w:jc w:val="center"/>
              <w:rPr>
                <w:b/>
                <w:bCs/>
                <w:sz w:val="21"/>
              </w:rPr>
            </w:pPr>
            <w:r>
              <w:rPr>
                <w:b/>
                <w:bCs/>
                <w:sz w:val="21"/>
              </w:rPr>
              <w:t>2030年</w:t>
            </w:r>
          </w:p>
        </w:tc>
        <w:tc>
          <w:tcPr>
            <w:tcW w:w="1134" w:type="dxa"/>
            <w:vMerge/>
            <w:tcBorders>
              <w:top w:val="single" w:sz="4" w:space="0" w:color="auto"/>
              <w:left w:val="single" w:sz="4" w:space="0" w:color="auto"/>
              <w:bottom w:val="single" w:sz="4" w:space="0" w:color="auto"/>
              <w:right w:val="single" w:sz="4" w:space="0" w:color="auto"/>
            </w:tcBorders>
            <w:noWrap/>
          </w:tcPr>
          <w:p/>
        </w:tc>
        <w:tc>
          <w:tcPr>
            <w:tcW w:w="993" w:type="dxa"/>
            <w:vMerge/>
            <w:tcBorders>
              <w:top w:val="single" w:sz="4" w:space="0" w:color="auto"/>
              <w:left w:val="single" w:sz="4" w:space="0" w:color="auto"/>
              <w:bottom w:val="single" w:sz="4" w:space="0" w:color="auto"/>
              <w:right w:val="single" w:sz="4" w:space="0" w:color="auto"/>
            </w:tcBorders>
            <w:shd w:val="clear" w:color="auto" w:fill="auto"/>
            <w:noWrap/>
            <w:vAlign w:val="center"/>
          </w:tcPr>
          <w:p/>
        </w:tc>
      </w:tr>
      <w:tr>
        <w:trPr>
          <w:trHeight w:val="340"/>
        </w:trPr>
        <w:tc>
          <w:tcPr>
            <w:tcW w:w="59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spacing w:line="240" w:lineRule="auto"/>
              <w:jc w:val="center"/>
              <w:rPr>
                <w:b/>
                <w:bCs/>
                <w:sz w:val="21"/>
              </w:rPr>
            </w:pPr>
            <w:r>
              <w:rPr>
                <w:rFonts w:hint="eastAsia"/>
                <w:b/>
                <w:bCs/>
                <w:sz w:val="21"/>
              </w:rPr>
              <w:t>目标责任</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spacing w:line="240" w:lineRule="auto"/>
              <w:jc w:val="center"/>
              <w:rPr>
                <w:sz w:val="21"/>
              </w:rPr>
            </w:pPr>
            <w:r>
              <w:rPr>
                <w:sz w:val="21"/>
              </w:rPr>
              <w:t>（一）</w:t>
            </w:r>
          </w:p>
          <w:p>
            <w:pPr>
              <w:widowControl/>
              <w:spacing w:line="240" w:lineRule="auto"/>
              <w:jc w:val="center"/>
              <w:rPr>
                <w:sz w:val="21"/>
              </w:rPr>
            </w:pPr>
            <w:r>
              <w:rPr>
                <w:rFonts w:hint="eastAsia"/>
                <w:sz w:val="21"/>
              </w:rPr>
              <w:t>目标责任落实</w:t>
            </w:r>
          </w:p>
        </w:tc>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spacing w:line="240" w:lineRule="auto"/>
              <w:jc w:val="center"/>
              <w:rPr>
                <w:sz w:val="21"/>
              </w:rPr>
            </w:pPr>
            <w:r>
              <w:rPr>
                <w:sz w:val="21"/>
              </w:rPr>
              <w:t>1</w:t>
            </w:r>
          </w:p>
        </w:tc>
        <w:tc>
          <w:tcPr>
            <w:tcW w:w="397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spacing w:line="240" w:lineRule="auto"/>
              <w:jc w:val="left"/>
              <w:rPr>
                <w:sz w:val="21"/>
              </w:rPr>
            </w:pPr>
            <w:r>
              <w:rPr>
                <w:sz w:val="21"/>
              </w:rPr>
              <w:t>生态文明建设工作占党政实绩考核的比例</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spacing w:line="240" w:lineRule="auto"/>
              <w:jc w:val="center"/>
              <w:rPr>
                <w:sz w:val="21"/>
              </w:rPr>
            </w:pPr>
            <w:r>
              <w:rPr>
                <w:sz w:val="21"/>
              </w:rPr>
              <w:t>%</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spacing w:line="240" w:lineRule="auto"/>
              <w:jc w:val="center"/>
              <w:rPr>
                <w:sz w:val="21"/>
              </w:rPr>
            </w:pPr>
            <w:r>
              <w:rPr>
                <w:sz w:val="21"/>
              </w:rPr>
              <w:t>≥20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spacing w:line="240" w:lineRule="auto"/>
              <w:jc w:val="center"/>
              <w:rPr>
                <w:sz w:val="21"/>
              </w:rPr>
            </w:pPr>
            <w:r>
              <w:rPr>
                <w:sz w:val="21"/>
              </w:rPr>
              <w:t>22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spacing w:line="240" w:lineRule="auto"/>
              <w:jc w:val="center"/>
              <w:rPr>
                <w:sz w:val="21"/>
              </w:rPr>
            </w:pPr>
            <w:r>
              <w:rPr>
                <w:sz w:val="21"/>
              </w:rPr>
              <w:t>25</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spacing w:line="240" w:lineRule="auto"/>
              <w:jc w:val="center"/>
              <w:rPr>
                <w:sz w:val="21"/>
              </w:rPr>
            </w:pPr>
            <w:r>
              <w:rPr>
                <w:sz w:val="21"/>
              </w:rPr>
              <w:t>26</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spacing w:line="240" w:lineRule="auto"/>
              <w:jc w:val="center"/>
              <w:rPr>
                <w:sz w:val="21"/>
              </w:rPr>
            </w:pPr>
            <w:r>
              <w:rPr>
                <w:sz w:val="21"/>
              </w:rPr>
              <w:t>发改委</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spacing w:line="240" w:lineRule="auto"/>
              <w:jc w:val="center"/>
              <w:rPr>
                <w:sz w:val="21"/>
              </w:rPr>
            </w:pPr>
            <w:r>
              <w:rPr>
                <w:sz w:val="21"/>
              </w:rPr>
              <w:t>达标</w:t>
            </w:r>
          </w:p>
        </w:tc>
      </w:tr>
      <w:tr>
        <w:trPr>
          <w:trHeight w:val="340"/>
        </w:trPr>
        <w:tc>
          <w:tcPr>
            <w:tcW w:w="594" w:type="dxa"/>
            <w:vMerge/>
            <w:tcBorders>
              <w:top w:val="single" w:sz="4" w:space="0" w:color="auto"/>
              <w:left w:val="single" w:sz="4" w:space="0" w:color="auto"/>
              <w:bottom w:val="single" w:sz="4" w:space="0" w:color="auto"/>
              <w:right w:val="single" w:sz="4" w:space="0" w:color="auto"/>
            </w:tcBorders>
            <w:noWrap/>
            <w:vAlign w:val="center"/>
          </w:tcPr>
          <w:p/>
        </w:tc>
        <w:tc>
          <w:tcPr>
            <w:tcW w:w="992" w:type="dxa"/>
            <w:vMerge/>
            <w:tcBorders>
              <w:top w:val="single" w:sz="4" w:space="0" w:color="auto"/>
              <w:left w:val="single" w:sz="4" w:space="0" w:color="auto"/>
              <w:bottom w:val="single" w:sz="4" w:space="0" w:color="auto"/>
              <w:right w:val="single" w:sz="4" w:space="0" w:color="auto"/>
            </w:tcBorders>
            <w:noWrap/>
            <w:vAlign w:val="center"/>
          </w:tcPr>
          <w:p/>
        </w:tc>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spacing w:line="240" w:lineRule="auto"/>
              <w:jc w:val="center"/>
              <w:rPr>
                <w:sz w:val="21"/>
              </w:rPr>
            </w:pPr>
            <w:r>
              <w:rPr>
                <w:sz w:val="21"/>
              </w:rPr>
              <w:t>2</w:t>
            </w:r>
          </w:p>
        </w:tc>
        <w:tc>
          <w:tcPr>
            <w:tcW w:w="397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spacing w:line="240" w:lineRule="auto"/>
              <w:jc w:val="left"/>
              <w:rPr>
                <w:sz w:val="21"/>
              </w:rPr>
            </w:pPr>
            <w:r>
              <w:rPr>
                <w:rFonts w:hint="eastAsia"/>
                <w:sz w:val="21"/>
              </w:rPr>
              <w:t>党政领导干部生态环境损害责任追究制度</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spacing w:line="240" w:lineRule="auto"/>
              <w:jc w:val="center"/>
              <w:rPr>
                <w:sz w:val="21"/>
              </w:rPr>
            </w:pPr>
            <w:r>
              <w:rPr>
                <w:sz w:val="21"/>
              </w:rPr>
              <w:t>-</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spacing w:line="240" w:lineRule="auto"/>
              <w:jc w:val="center"/>
              <w:rPr>
                <w:sz w:val="21"/>
              </w:rPr>
            </w:pPr>
            <w:r>
              <w:rPr>
                <w:rFonts w:hint="eastAsia"/>
                <w:sz w:val="21"/>
              </w:rPr>
              <w:t>建立</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spacing w:line="240" w:lineRule="auto"/>
              <w:jc w:val="center"/>
              <w:rPr>
                <w:sz w:val="21"/>
              </w:rPr>
            </w:pPr>
            <w:r>
              <w:rPr>
                <w:rFonts w:hint="eastAsia"/>
                <w:sz w:val="21"/>
              </w:rPr>
              <w:t>建立</w:t>
            </w:r>
          </w:p>
        </w:tc>
        <w:tc>
          <w:tcPr>
            <w:tcW w:w="1134" w:type="dxa"/>
            <w:tcBorders>
              <w:top w:val="single" w:sz="4" w:space="0" w:color="auto"/>
              <w:left w:val="single" w:sz="4" w:space="0" w:color="auto"/>
              <w:bottom w:val="single" w:sz="4" w:space="0" w:color="auto"/>
              <w:right w:val="single" w:sz="4" w:space="0" w:color="auto"/>
            </w:tcBorders>
            <w:noWrap/>
            <w:vAlign w:val="center"/>
          </w:tcPr>
          <w:p>
            <w:pPr>
              <w:widowControl/>
              <w:spacing w:line="240" w:lineRule="auto"/>
              <w:jc w:val="center"/>
              <w:rPr>
                <w:sz w:val="21"/>
              </w:rPr>
            </w:pPr>
            <w:r>
              <w:rPr>
                <w:rFonts w:hint="eastAsia"/>
                <w:sz w:val="21"/>
              </w:rPr>
              <w:t>建立</w:t>
            </w:r>
          </w:p>
        </w:tc>
        <w:tc>
          <w:tcPr>
            <w:tcW w:w="1275" w:type="dxa"/>
            <w:tcBorders>
              <w:top w:val="single" w:sz="4" w:space="0" w:color="auto"/>
              <w:left w:val="single" w:sz="4" w:space="0" w:color="auto"/>
              <w:bottom w:val="single" w:sz="4" w:space="0" w:color="auto"/>
              <w:right w:val="single" w:sz="4" w:space="0" w:color="auto"/>
            </w:tcBorders>
            <w:noWrap/>
            <w:vAlign w:val="center"/>
          </w:tcPr>
          <w:p>
            <w:pPr>
              <w:widowControl/>
              <w:spacing w:line="240" w:lineRule="auto"/>
              <w:jc w:val="center"/>
              <w:rPr>
                <w:sz w:val="21"/>
              </w:rPr>
            </w:pPr>
            <w:r>
              <w:rPr>
                <w:rFonts w:hint="eastAsia"/>
                <w:sz w:val="21"/>
              </w:rPr>
              <w:t>建立</w:t>
            </w:r>
          </w:p>
        </w:tc>
        <w:tc>
          <w:tcPr>
            <w:tcW w:w="1134" w:type="dxa"/>
            <w:tcBorders>
              <w:top w:val="single" w:sz="4" w:space="0" w:color="auto"/>
              <w:left w:val="single" w:sz="4" w:space="0" w:color="auto"/>
              <w:bottom w:val="single" w:sz="4" w:space="0" w:color="auto"/>
              <w:right w:val="single" w:sz="4" w:space="0" w:color="auto"/>
            </w:tcBorders>
            <w:noWrap/>
            <w:vAlign w:val="center"/>
          </w:tcPr>
          <w:p>
            <w:pPr>
              <w:widowControl/>
              <w:spacing w:line="240" w:lineRule="auto"/>
              <w:jc w:val="center"/>
              <w:rPr>
                <w:sz w:val="21"/>
              </w:rPr>
            </w:pPr>
            <w:r>
              <w:rPr>
                <w:rFonts w:hint="eastAsia"/>
                <w:sz w:val="21"/>
              </w:rPr>
              <w:t>纪委</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spacing w:line="240" w:lineRule="auto"/>
              <w:jc w:val="center"/>
              <w:rPr>
                <w:sz w:val="21"/>
              </w:rPr>
            </w:pPr>
            <w:r>
              <w:rPr>
                <w:sz w:val="21"/>
              </w:rPr>
              <w:t>达标</w:t>
            </w:r>
          </w:p>
        </w:tc>
      </w:tr>
      <w:tr>
        <w:trPr>
          <w:trHeight w:val="340"/>
        </w:trPr>
        <w:tc>
          <w:tcPr>
            <w:tcW w:w="594" w:type="dxa"/>
            <w:vMerge/>
            <w:tcBorders>
              <w:top w:val="single" w:sz="4" w:space="0" w:color="auto"/>
              <w:left w:val="single" w:sz="4" w:space="0" w:color="auto"/>
              <w:bottom w:val="single" w:sz="4" w:space="0" w:color="auto"/>
              <w:right w:val="single" w:sz="4" w:space="0" w:color="auto"/>
            </w:tcBorders>
            <w:noWrap/>
            <w:vAlign w:val="center"/>
          </w:tcPr>
          <w:p/>
        </w:tc>
        <w:tc>
          <w:tcPr>
            <w:tcW w:w="992" w:type="dxa"/>
            <w:vMerge/>
            <w:tcBorders>
              <w:top w:val="single" w:sz="4" w:space="0" w:color="auto"/>
              <w:left w:val="single" w:sz="4" w:space="0" w:color="auto"/>
              <w:bottom w:val="single" w:sz="4" w:space="0" w:color="auto"/>
              <w:right w:val="single" w:sz="4" w:space="0" w:color="auto"/>
            </w:tcBorders>
            <w:noWrap/>
            <w:vAlign w:val="center"/>
          </w:tcPr>
          <w:p/>
        </w:tc>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spacing w:line="240" w:lineRule="auto"/>
              <w:jc w:val="center"/>
              <w:rPr>
                <w:sz w:val="21"/>
              </w:rPr>
            </w:pPr>
            <w:r>
              <w:rPr>
                <w:sz w:val="21"/>
              </w:rPr>
              <w:t>3</w:t>
            </w:r>
          </w:p>
        </w:tc>
        <w:tc>
          <w:tcPr>
            <w:tcW w:w="397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spacing w:line="240" w:lineRule="auto"/>
              <w:jc w:val="left"/>
              <w:rPr>
                <w:sz w:val="21"/>
              </w:rPr>
            </w:pPr>
            <w:r>
              <w:rPr>
                <w:rFonts w:hint="eastAsia"/>
                <w:sz w:val="21"/>
              </w:rPr>
              <w:t>领导干部自然资源资产离任审计</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spacing w:line="240" w:lineRule="auto"/>
              <w:jc w:val="center"/>
              <w:rPr>
                <w:sz w:val="21"/>
              </w:rPr>
            </w:pPr>
            <w:r>
              <w:rPr>
                <w:rFonts w:hint="eastAsia"/>
                <w:sz w:val="21"/>
              </w:rPr>
              <w:t>-</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spacing w:line="240" w:lineRule="auto"/>
              <w:jc w:val="center"/>
              <w:rPr>
                <w:sz w:val="21"/>
              </w:rPr>
            </w:pPr>
            <w:r>
              <w:rPr>
                <w:rFonts w:hint="eastAsia"/>
                <w:sz w:val="21"/>
              </w:rPr>
              <w:t>开展</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spacing w:line="240" w:lineRule="auto"/>
              <w:jc w:val="center"/>
              <w:rPr>
                <w:sz w:val="21"/>
              </w:rPr>
            </w:pPr>
            <w:r>
              <w:rPr>
                <w:rFonts w:hint="eastAsia"/>
                <w:sz w:val="21"/>
              </w:rPr>
              <w:t>开展</w:t>
            </w:r>
          </w:p>
        </w:tc>
        <w:tc>
          <w:tcPr>
            <w:tcW w:w="1134" w:type="dxa"/>
            <w:tcBorders>
              <w:top w:val="single" w:sz="4" w:space="0" w:color="auto"/>
              <w:left w:val="single" w:sz="4" w:space="0" w:color="auto"/>
              <w:bottom w:val="single" w:sz="4" w:space="0" w:color="auto"/>
              <w:right w:val="single" w:sz="4" w:space="0" w:color="auto"/>
            </w:tcBorders>
            <w:noWrap/>
            <w:vAlign w:val="center"/>
          </w:tcPr>
          <w:p>
            <w:pPr>
              <w:widowControl/>
              <w:spacing w:line="240" w:lineRule="auto"/>
              <w:jc w:val="center"/>
              <w:rPr>
                <w:sz w:val="21"/>
              </w:rPr>
            </w:pPr>
            <w:r>
              <w:rPr>
                <w:rFonts w:hint="eastAsia"/>
                <w:sz w:val="21"/>
              </w:rPr>
              <w:t>开展</w:t>
            </w:r>
          </w:p>
        </w:tc>
        <w:tc>
          <w:tcPr>
            <w:tcW w:w="1275" w:type="dxa"/>
            <w:tcBorders>
              <w:top w:val="single" w:sz="4" w:space="0" w:color="auto"/>
              <w:left w:val="single" w:sz="4" w:space="0" w:color="auto"/>
              <w:bottom w:val="single" w:sz="4" w:space="0" w:color="auto"/>
              <w:right w:val="single" w:sz="4" w:space="0" w:color="auto"/>
            </w:tcBorders>
            <w:noWrap/>
            <w:vAlign w:val="center"/>
          </w:tcPr>
          <w:p>
            <w:pPr>
              <w:widowControl/>
              <w:spacing w:line="240" w:lineRule="auto"/>
              <w:jc w:val="center"/>
              <w:rPr>
                <w:sz w:val="21"/>
              </w:rPr>
            </w:pPr>
            <w:r>
              <w:rPr>
                <w:rFonts w:hint="eastAsia"/>
                <w:sz w:val="21"/>
              </w:rPr>
              <w:t>开展</w:t>
            </w:r>
          </w:p>
        </w:tc>
        <w:tc>
          <w:tcPr>
            <w:tcW w:w="1134" w:type="dxa"/>
            <w:tcBorders>
              <w:top w:val="single" w:sz="4" w:space="0" w:color="auto"/>
              <w:left w:val="single" w:sz="4" w:space="0" w:color="auto"/>
              <w:bottom w:val="single" w:sz="4" w:space="0" w:color="auto"/>
              <w:right w:val="single" w:sz="4" w:space="0" w:color="auto"/>
            </w:tcBorders>
            <w:noWrap/>
            <w:vAlign w:val="center"/>
          </w:tcPr>
          <w:p>
            <w:pPr>
              <w:widowControl/>
              <w:adjustRightInd w:val="0"/>
              <w:snapToGrid w:val="0"/>
              <w:spacing w:line="240" w:lineRule="auto"/>
              <w:jc w:val="center"/>
              <w:textAlignment w:val="baseline"/>
              <w:rPr>
                <w:sz w:val="21"/>
              </w:rPr>
            </w:pPr>
            <w:r>
              <w:rPr>
                <w:rFonts w:hint="eastAsia"/>
                <w:sz w:val="21"/>
              </w:rPr>
              <w:t>审计局</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spacing w:line="240" w:lineRule="auto"/>
              <w:jc w:val="center"/>
              <w:rPr>
                <w:sz w:val="21"/>
              </w:rPr>
            </w:pPr>
            <w:r>
              <w:rPr>
                <w:rFonts w:hint="eastAsia"/>
                <w:sz w:val="21"/>
              </w:rPr>
              <w:t>达标</w:t>
            </w:r>
          </w:p>
        </w:tc>
      </w:tr>
      <w:tr>
        <w:trPr>
          <w:trHeight w:val="1779"/>
        </w:trPr>
        <w:tc>
          <w:tcPr>
            <w:tcW w:w="59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spacing w:line="240" w:lineRule="auto"/>
              <w:jc w:val="center"/>
              <w:rPr>
                <w:b/>
                <w:bCs/>
                <w:sz w:val="21"/>
              </w:rPr>
            </w:pPr>
            <w:r>
              <w:rPr>
                <w:b/>
                <w:bCs/>
                <w:sz w:val="21"/>
              </w:rPr>
              <w:t>生态安全</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spacing w:line="240" w:lineRule="auto"/>
              <w:jc w:val="center"/>
              <w:rPr>
                <w:sz w:val="21"/>
              </w:rPr>
            </w:pPr>
            <w:r>
              <w:rPr>
                <w:sz w:val="21"/>
              </w:rPr>
              <w:t>（二）</w:t>
            </w:r>
          </w:p>
          <w:p>
            <w:pPr>
              <w:widowControl/>
              <w:spacing w:line="240" w:lineRule="auto"/>
              <w:jc w:val="center"/>
              <w:rPr>
                <w:sz w:val="21"/>
              </w:rPr>
            </w:pPr>
            <w:r>
              <w:rPr>
                <w:sz w:val="21"/>
              </w:rPr>
              <w:t>环境质量改善</w:t>
            </w:r>
          </w:p>
        </w:tc>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spacing w:line="240" w:lineRule="auto"/>
              <w:jc w:val="center"/>
              <w:rPr>
                <w:sz w:val="21"/>
              </w:rPr>
            </w:pPr>
            <w:r>
              <w:rPr>
                <w:sz w:val="21"/>
              </w:rPr>
              <w:t>4</w:t>
            </w:r>
          </w:p>
        </w:tc>
        <w:tc>
          <w:tcPr>
            <w:tcW w:w="1422"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line="240" w:lineRule="auto"/>
              <w:jc w:val="left"/>
              <w:rPr>
                <w:sz w:val="21"/>
              </w:rPr>
            </w:pPr>
            <w:r>
              <w:rPr>
                <w:sz w:val="21"/>
              </w:rPr>
              <w:t>环境空气质量</w:t>
            </w:r>
          </w:p>
        </w:tc>
        <w:tc>
          <w:tcPr>
            <w:tcW w:w="2550"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line="240" w:lineRule="auto"/>
              <w:jc w:val="left"/>
              <w:rPr>
                <w:sz w:val="21"/>
              </w:rPr>
            </w:pPr>
            <w:r>
              <w:rPr>
                <w:sz w:val="21"/>
              </w:rPr>
              <w:t>PM</w:t>
            </w:r>
            <w:r>
              <w:rPr>
                <w:sz w:val="21"/>
                <w:vertAlign w:val="subscript"/>
              </w:rPr>
              <w:t>2.5</w:t>
            </w:r>
            <w:r>
              <w:rPr>
                <w:sz w:val="21"/>
              </w:rPr>
              <w:t>浓度</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spacing w:line="240" w:lineRule="auto"/>
              <w:jc w:val="center"/>
              <w:rPr>
                <w:sz w:val="21"/>
              </w:rPr>
            </w:pPr>
            <w:r>
              <w:rPr>
                <w:sz w:val="21"/>
              </w:rPr>
              <w:t>μg/m³</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spacing w:line="240" w:lineRule="auto"/>
              <w:jc w:val="center"/>
              <w:rPr>
                <w:sz w:val="21"/>
              </w:rPr>
            </w:pPr>
            <w:r>
              <w:rPr>
                <w:sz w:val="21"/>
              </w:rPr>
              <w:t>完成上级规定的考核任务；</w:t>
            </w:r>
            <w:r>
              <w:rPr>
                <w:rFonts w:hint="eastAsia"/>
                <w:sz w:val="21"/>
              </w:rPr>
              <w:t>且</w:t>
            </w:r>
            <w:r>
              <w:rPr>
                <w:sz w:val="21"/>
              </w:rPr>
              <w:t>保持稳定或持续</w:t>
            </w:r>
            <w:r>
              <w:rPr>
                <w:rFonts w:hint="eastAsia"/>
                <w:sz w:val="21"/>
              </w:rPr>
              <w:t>下降</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spacing w:line="240" w:lineRule="auto"/>
              <w:jc w:val="center"/>
              <w:rPr>
                <w:sz w:val="21"/>
              </w:rPr>
            </w:pPr>
            <w:r>
              <w:rPr>
                <w:sz w:val="21"/>
              </w:rPr>
              <w:t>25μg/m</w:t>
            </w:r>
            <w:r>
              <w:rPr>
                <w:sz w:val="21"/>
                <w:vertAlign w:val="superscript"/>
              </w:rPr>
              <w:t>3</w:t>
            </w:r>
            <w:r>
              <w:rPr>
                <w:sz w:val="21"/>
              </w:rPr>
              <w:t>，较2021年下降3.85%，持续改善</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line="240" w:lineRule="auto"/>
              <w:jc w:val="center"/>
              <w:rPr>
                <w:sz w:val="21"/>
              </w:rPr>
            </w:pPr>
            <w:r>
              <w:rPr>
                <w:sz w:val="21"/>
              </w:rPr>
              <w:t>完成上级规定的考核任务；保持稳定或持续改善</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line="240" w:lineRule="auto"/>
              <w:jc w:val="center"/>
              <w:rPr>
                <w:sz w:val="21"/>
              </w:rPr>
            </w:pPr>
            <w:r>
              <w:rPr>
                <w:sz w:val="21"/>
              </w:rPr>
              <w:t>完成上级规定的考核任务；保持稳定或持续改善</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spacing w:line="240" w:lineRule="auto"/>
              <w:jc w:val="center"/>
              <w:rPr>
                <w:sz w:val="21"/>
              </w:rPr>
            </w:pPr>
            <w:r>
              <w:rPr>
                <w:sz w:val="21"/>
              </w:rPr>
              <w:t>生态环境局</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spacing w:line="240" w:lineRule="auto"/>
              <w:jc w:val="center"/>
              <w:rPr>
                <w:sz w:val="21"/>
              </w:rPr>
            </w:pPr>
            <w:r>
              <w:rPr>
                <w:sz w:val="21"/>
              </w:rPr>
              <w:t>达标</w:t>
            </w:r>
          </w:p>
        </w:tc>
      </w:tr>
      <w:tr>
        <w:trPr>
          <w:trHeight w:val="340"/>
        </w:trPr>
        <w:tc>
          <w:tcPr>
            <w:tcW w:w="594" w:type="dxa"/>
            <w:vMerge/>
            <w:tcBorders>
              <w:top w:val="single" w:sz="4" w:space="0" w:color="auto"/>
              <w:left w:val="single" w:sz="4" w:space="0" w:color="auto"/>
              <w:bottom w:val="single" w:sz="4" w:space="0" w:color="auto"/>
              <w:right w:val="single" w:sz="4" w:space="0" w:color="auto"/>
            </w:tcBorders>
            <w:noWrap/>
            <w:vAlign w:val="center"/>
          </w:tcPr>
          <w:p/>
        </w:tc>
        <w:tc>
          <w:tcPr>
            <w:tcW w:w="992" w:type="dxa"/>
            <w:vMerge/>
            <w:tcBorders>
              <w:top w:val="single" w:sz="4" w:space="0" w:color="auto"/>
              <w:left w:val="single" w:sz="4" w:space="0" w:color="auto"/>
              <w:bottom w:val="single" w:sz="4" w:space="0" w:color="auto"/>
              <w:right w:val="single" w:sz="4" w:space="0" w:color="auto"/>
            </w:tcBorders>
            <w:noWrap/>
            <w:vAlign w:val="center"/>
          </w:tcPr>
          <w:p/>
        </w:tc>
        <w:tc>
          <w:tcPr>
            <w:tcW w:w="66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spacing w:line="240" w:lineRule="auto"/>
              <w:jc w:val="center"/>
              <w:rPr>
                <w:sz w:val="21"/>
              </w:rPr>
            </w:pPr>
            <w:r>
              <w:rPr>
                <w:sz w:val="21"/>
              </w:rPr>
              <w:t>5</w:t>
            </w:r>
          </w:p>
        </w:tc>
        <w:tc>
          <w:tcPr>
            <w:tcW w:w="142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spacing w:line="240" w:lineRule="auto"/>
              <w:jc w:val="left"/>
              <w:rPr>
                <w:sz w:val="21"/>
              </w:rPr>
            </w:pPr>
            <w:r>
              <w:rPr>
                <w:sz w:val="21"/>
              </w:rPr>
              <w:t>水环境质量</w:t>
            </w:r>
          </w:p>
        </w:tc>
        <w:tc>
          <w:tcPr>
            <w:tcW w:w="2550"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spacing w:line="240" w:lineRule="auto"/>
              <w:jc w:val="left"/>
              <w:rPr>
                <w:sz w:val="21"/>
              </w:rPr>
            </w:pPr>
            <w:r>
              <w:rPr>
                <w:rFonts w:hint="eastAsia"/>
                <w:sz w:val="21"/>
              </w:rPr>
              <w:t>地表水</w:t>
            </w:r>
            <w:r>
              <w:rPr>
                <w:sz w:val="21"/>
              </w:rPr>
              <w:t>达到或优于III类比例提高幅度</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spacing w:line="240" w:lineRule="auto"/>
              <w:jc w:val="center"/>
              <w:rPr>
                <w:sz w:val="21"/>
              </w:rPr>
            </w:pPr>
            <w:r>
              <w:rPr>
                <w:sz w:val="21"/>
              </w:rPr>
              <w:t>%</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spacing w:line="240" w:lineRule="auto"/>
              <w:jc w:val="center"/>
              <w:rPr>
                <w:sz w:val="21"/>
              </w:rPr>
            </w:pPr>
            <w:r>
              <w:rPr>
                <w:sz w:val="21"/>
              </w:rPr>
              <w:t>完成上级规定的考核任务；</w:t>
            </w:r>
            <w:r>
              <w:rPr>
                <w:rFonts w:hint="eastAsia"/>
                <w:sz w:val="21"/>
              </w:rPr>
              <w:t>且</w:t>
            </w:r>
            <w:r>
              <w:rPr>
                <w:sz w:val="21"/>
              </w:rPr>
              <w:t>保持稳定或持续</w:t>
            </w:r>
            <w:r>
              <w:rPr>
                <w:rFonts w:hint="eastAsia"/>
                <w:sz w:val="21"/>
              </w:rPr>
              <w:t>提高</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spacing w:line="240" w:lineRule="auto"/>
              <w:jc w:val="center"/>
              <w:rPr>
                <w:sz w:val="21"/>
              </w:rPr>
            </w:pPr>
            <w:r>
              <w:rPr>
                <w:sz w:val="21"/>
              </w:rPr>
              <w:t>100%，完成上级规定的考核任务，保持稳定</w:t>
            </w:r>
          </w:p>
        </w:tc>
        <w:tc>
          <w:tcPr>
            <w:tcW w:w="1134" w:type="dxa"/>
            <w:tcBorders>
              <w:top w:val="single" w:sz="4" w:space="0" w:color="auto"/>
              <w:left w:val="single" w:sz="4" w:space="0" w:color="auto"/>
              <w:bottom w:val="single" w:sz="4" w:space="0" w:color="auto"/>
              <w:right w:val="single" w:sz="4" w:space="0" w:color="auto"/>
            </w:tcBorders>
            <w:noWrap/>
          </w:tcPr>
          <w:p>
            <w:pPr>
              <w:widowControl/>
              <w:spacing w:line="240" w:lineRule="auto"/>
              <w:jc w:val="center"/>
              <w:rPr>
                <w:sz w:val="21"/>
              </w:rPr>
            </w:pPr>
            <w:r>
              <w:rPr>
                <w:sz w:val="21"/>
              </w:rPr>
              <w:t>100%，完成上级规定的考核任务；保持稳定或持续</w:t>
            </w:r>
            <w:r>
              <w:rPr>
                <w:rFonts w:hint="eastAsia"/>
                <w:sz w:val="21"/>
              </w:rPr>
              <w:t>提高</w:t>
            </w:r>
          </w:p>
        </w:tc>
        <w:tc>
          <w:tcPr>
            <w:tcW w:w="1275" w:type="dxa"/>
            <w:tcBorders>
              <w:top w:val="single" w:sz="4" w:space="0" w:color="auto"/>
              <w:left w:val="single" w:sz="4" w:space="0" w:color="auto"/>
              <w:bottom w:val="single" w:sz="4" w:space="0" w:color="auto"/>
              <w:right w:val="single" w:sz="4" w:space="0" w:color="auto"/>
            </w:tcBorders>
            <w:noWrap/>
          </w:tcPr>
          <w:p>
            <w:pPr>
              <w:widowControl/>
              <w:spacing w:line="240" w:lineRule="auto"/>
              <w:jc w:val="center"/>
              <w:rPr>
                <w:sz w:val="21"/>
              </w:rPr>
            </w:pPr>
            <w:r>
              <w:rPr>
                <w:sz w:val="21"/>
              </w:rPr>
              <w:t>100%，完成上级规定的考核任务；保持稳定或持续</w:t>
            </w:r>
            <w:r>
              <w:rPr>
                <w:rFonts w:hint="eastAsia"/>
                <w:sz w:val="21"/>
              </w:rPr>
              <w:t>提高</w:t>
            </w:r>
          </w:p>
        </w:tc>
        <w:tc>
          <w:tcPr>
            <w:tcW w:w="1134" w:type="dxa"/>
            <w:vMerge w:val="restart"/>
            <w:tcBorders>
              <w:top w:val="single" w:sz="4" w:space="0" w:color="auto"/>
              <w:left w:val="single" w:sz="4" w:space="0" w:color="auto"/>
              <w:bottom w:val="single" w:sz="4" w:space="0" w:color="auto"/>
              <w:right w:val="single" w:sz="4" w:space="0" w:color="auto"/>
            </w:tcBorders>
            <w:noWrap/>
            <w:vAlign w:val="center"/>
          </w:tcPr>
          <w:p>
            <w:pPr>
              <w:widowControl/>
              <w:spacing w:line="240" w:lineRule="auto"/>
              <w:jc w:val="center"/>
              <w:rPr>
                <w:sz w:val="21"/>
              </w:rPr>
            </w:pPr>
            <w:r>
              <w:rPr>
                <w:sz w:val="21"/>
              </w:rPr>
              <w:t>生态环境局</w:t>
              <w:br/>
              <w:t>水务局</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spacing w:line="240" w:lineRule="auto"/>
              <w:jc w:val="center"/>
              <w:rPr>
                <w:sz w:val="21"/>
              </w:rPr>
            </w:pPr>
            <w:r>
              <w:rPr>
                <w:sz w:val="21"/>
              </w:rPr>
              <w:t>达标</w:t>
            </w:r>
          </w:p>
        </w:tc>
      </w:tr>
      <w:tr>
        <w:trPr>
          <w:trHeight w:val="340"/>
        </w:trPr>
        <w:tc>
          <w:tcPr>
            <w:tcW w:w="594" w:type="dxa"/>
            <w:vMerge/>
            <w:tcBorders>
              <w:top w:val="single" w:sz="4" w:space="0" w:color="auto"/>
              <w:left w:val="single" w:sz="4" w:space="0" w:color="auto"/>
              <w:bottom w:val="single" w:sz="4" w:space="0" w:color="auto"/>
              <w:right w:val="single" w:sz="4" w:space="0" w:color="auto"/>
            </w:tcBorders>
            <w:noWrap/>
            <w:vAlign w:val="center"/>
          </w:tcPr>
          <w:p/>
        </w:tc>
        <w:tc>
          <w:tcPr>
            <w:tcW w:w="992" w:type="dxa"/>
            <w:vMerge/>
            <w:tcBorders>
              <w:top w:val="single" w:sz="4" w:space="0" w:color="auto"/>
              <w:left w:val="single" w:sz="4" w:space="0" w:color="auto"/>
              <w:bottom w:val="single" w:sz="4" w:space="0" w:color="auto"/>
              <w:right w:val="single" w:sz="4" w:space="0" w:color="auto"/>
            </w:tcBorders>
            <w:noWrap/>
            <w:vAlign w:val="center"/>
          </w:tcPr>
          <w:p/>
        </w:tc>
        <w:tc>
          <w:tcPr>
            <w:tcW w:w="664" w:type="dxa"/>
            <w:vMerge/>
            <w:tcBorders>
              <w:top w:val="single" w:sz="4" w:space="0" w:color="auto"/>
              <w:left w:val="single" w:sz="4" w:space="0" w:color="auto"/>
              <w:bottom w:val="single" w:sz="4" w:space="0" w:color="auto"/>
              <w:right w:val="single" w:sz="4" w:space="0" w:color="auto"/>
            </w:tcBorders>
            <w:noWrap/>
            <w:vAlign w:val="center"/>
          </w:tcPr>
          <w:p/>
        </w:tc>
        <w:tc>
          <w:tcPr>
            <w:tcW w:w="1422" w:type="dxa"/>
            <w:vMerge/>
            <w:tcBorders>
              <w:top w:val="single" w:sz="4" w:space="0" w:color="auto"/>
              <w:left w:val="single" w:sz="4" w:space="0" w:color="auto"/>
              <w:bottom w:val="single" w:sz="4" w:space="0" w:color="auto"/>
              <w:right w:val="single" w:sz="4" w:space="0" w:color="auto"/>
            </w:tcBorders>
            <w:shd w:val="clear" w:color="auto" w:fill="auto"/>
            <w:noWrap/>
            <w:vAlign w:val="center"/>
          </w:tcPr>
          <w:p/>
        </w:tc>
        <w:tc>
          <w:tcPr>
            <w:tcW w:w="2550"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spacing w:line="240" w:lineRule="auto"/>
              <w:jc w:val="left"/>
              <w:rPr>
                <w:sz w:val="21"/>
              </w:rPr>
            </w:pPr>
            <w:r>
              <w:rPr>
                <w:rFonts w:hint="eastAsia"/>
                <w:sz w:val="21"/>
              </w:rPr>
              <w:t>县城污水处理率</w:t>
            </w:r>
          </w:p>
        </w:tc>
        <w:tc>
          <w:tcPr>
            <w:tcW w:w="709" w:type="dxa"/>
            <w:vMerge/>
            <w:tcBorders>
              <w:top w:val="single" w:sz="4" w:space="0" w:color="auto"/>
              <w:left w:val="single" w:sz="4" w:space="0" w:color="auto"/>
              <w:bottom w:val="single" w:sz="4" w:space="0" w:color="auto"/>
              <w:right w:val="single" w:sz="4" w:space="0" w:color="auto"/>
            </w:tcBorders>
            <w:shd w:val="clear" w:color="auto" w:fill="auto"/>
            <w:noWrap/>
            <w:vAlign w:val="center"/>
          </w:tcPr>
          <w:p/>
        </w:tc>
        <w:tc>
          <w:tcPr>
            <w:tcW w:w="1276" w:type="dxa"/>
            <w:tcBorders>
              <w:top w:val="single" w:sz="4" w:space="0" w:color="auto"/>
              <w:left w:val="single" w:sz="4" w:space="0" w:color="auto"/>
              <w:bottom w:val="single" w:sz="4" w:space="0" w:color="auto"/>
              <w:right w:val="single" w:sz="4" w:space="0" w:color="auto"/>
            </w:tcBorders>
            <w:noWrap/>
            <w:vAlign w:val="center"/>
          </w:tcPr>
          <w:p>
            <w:pPr>
              <w:widowControl/>
              <w:spacing w:line="240" w:lineRule="auto"/>
              <w:jc w:val="center"/>
              <w:rPr>
                <w:sz w:val="21"/>
              </w:rPr>
            </w:pPr>
            <w:r>
              <w:rPr>
                <w:sz w:val="21"/>
              </w:rPr>
              <w:t>≥95</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spacing w:line="240" w:lineRule="auto"/>
              <w:jc w:val="center"/>
              <w:rPr>
                <w:sz w:val="21"/>
              </w:rPr>
            </w:pPr>
            <w:r>
              <w:rPr>
                <w:sz w:val="21"/>
              </w:rPr>
              <w:t>98.4</w:t>
            </w:r>
          </w:p>
          <w:p>
            <w:pPr>
              <w:widowControl/>
              <w:spacing w:line="240" w:lineRule="auto"/>
              <w:jc w:val="center"/>
              <w:rPr>
                <w:sz w:val="21"/>
              </w:rPr>
            </w:pPr>
            <w:r>
              <w:rPr>
                <w:sz w:val="21"/>
              </w:rPr>
              <w:t>（南京市区数据）</w:t>
            </w:r>
          </w:p>
        </w:tc>
        <w:tc>
          <w:tcPr>
            <w:tcW w:w="1134" w:type="dxa"/>
            <w:tcBorders>
              <w:top w:val="single" w:sz="4" w:space="0" w:color="auto"/>
              <w:left w:val="single" w:sz="4" w:space="0" w:color="auto"/>
              <w:bottom w:val="single" w:sz="4" w:space="0" w:color="auto"/>
              <w:right w:val="single" w:sz="4" w:space="0" w:color="auto"/>
            </w:tcBorders>
            <w:noWrap/>
            <w:vAlign w:val="center"/>
          </w:tcPr>
          <w:p>
            <w:pPr>
              <w:widowControl/>
              <w:spacing w:line="240" w:lineRule="auto"/>
              <w:jc w:val="center"/>
              <w:rPr>
                <w:sz w:val="21"/>
              </w:rPr>
            </w:pPr>
            <w:r>
              <w:rPr>
                <w:sz w:val="21"/>
              </w:rPr>
              <w:t>99</w:t>
            </w:r>
          </w:p>
        </w:tc>
        <w:tc>
          <w:tcPr>
            <w:tcW w:w="1275" w:type="dxa"/>
            <w:tcBorders>
              <w:top w:val="single" w:sz="4" w:space="0" w:color="auto"/>
              <w:left w:val="single" w:sz="4" w:space="0" w:color="auto"/>
              <w:bottom w:val="single" w:sz="4" w:space="0" w:color="auto"/>
              <w:right w:val="single" w:sz="4" w:space="0" w:color="auto"/>
            </w:tcBorders>
            <w:noWrap/>
            <w:vAlign w:val="center"/>
          </w:tcPr>
          <w:p>
            <w:pPr>
              <w:widowControl/>
              <w:spacing w:line="240" w:lineRule="auto"/>
              <w:jc w:val="center"/>
              <w:rPr>
                <w:sz w:val="21"/>
              </w:rPr>
            </w:pPr>
            <w:r>
              <w:rPr>
                <w:sz w:val="21"/>
              </w:rPr>
              <w:t>100</w:t>
            </w:r>
          </w:p>
        </w:tc>
        <w:tc>
          <w:tcPr>
            <w:tcW w:w="1134" w:type="dxa"/>
            <w:vMerge/>
            <w:tcBorders>
              <w:top w:val="single" w:sz="4" w:space="0" w:color="auto"/>
              <w:left w:val="single" w:sz="4" w:space="0" w:color="auto"/>
              <w:bottom w:val="single" w:sz="4" w:space="0" w:color="auto"/>
              <w:right w:val="single" w:sz="4" w:space="0" w:color="auto"/>
            </w:tcBorders>
            <w:noWrap/>
          </w:tcPr>
          <w:p/>
        </w:tc>
        <w:tc>
          <w:tcPr>
            <w:tcW w:w="993" w:type="dxa"/>
            <w:vMerge/>
            <w:tcBorders>
              <w:top w:val="single" w:sz="4" w:space="0" w:color="auto"/>
              <w:left w:val="single" w:sz="4" w:space="0" w:color="auto"/>
              <w:bottom w:val="single" w:sz="4" w:space="0" w:color="auto"/>
              <w:right w:val="single" w:sz="4" w:space="0" w:color="auto"/>
            </w:tcBorders>
            <w:shd w:val="clear" w:color="auto" w:fill="auto"/>
            <w:noWrap/>
            <w:vAlign w:val="center"/>
          </w:tcPr>
          <w:p/>
        </w:tc>
      </w:tr>
      <w:tr>
        <w:trPr>
          <w:trHeight w:val="340"/>
        </w:trPr>
        <w:tc>
          <w:tcPr>
            <w:tcW w:w="594" w:type="dxa"/>
            <w:vMerge/>
            <w:tcBorders>
              <w:top w:val="single" w:sz="4" w:space="0" w:color="auto"/>
              <w:left w:val="single" w:sz="4" w:space="0" w:color="auto"/>
              <w:bottom w:val="single" w:sz="4" w:space="0" w:color="auto"/>
              <w:right w:val="single" w:sz="4" w:space="0" w:color="auto"/>
            </w:tcBorders>
            <w:noWrap/>
            <w:vAlign w:val="center"/>
          </w:tcPr>
          <w:p/>
        </w:tc>
        <w:tc>
          <w:tcPr>
            <w:tcW w:w="992" w:type="dxa"/>
            <w:vMerge/>
            <w:tcBorders>
              <w:top w:val="single" w:sz="4" w:space="0" w:color="auto"/>
              <w:left w:val="single" w:sz="4" w:space="0" w:color="auto"/>
              <w:bottom w:val="single" w:sz="4" w:space="0" w:color="auto"/>
              <w:right w:val="single" w:sz="4" w:space="0" w:color="auto"/>
            </w:tcBorders>
            <w:noWrap/>
            <w:vAlign w:val="center"/>
          </w:tcPr>
          <w:p/>
        </w:tc>
        <w:tc>
          <w:tcPr>
            <w:tcW w:w="664" w:type="dxa"/>
            <w:vMerge/>
            <w:tcBorders>
              <w:top w:val="single" w:sz="4" w:space="0" w:color="auto"/>
              <w:left w:val="single" w:sz="4" w:space="0" w:color="auto"/>
              <w:bottom w:val="single" w:sz="4" w:space="0" w:color="auto"/>
              <w:right w:val="single" w:sz="4" w:space="0" w:color="auto"/>
            </w:tcBorders>
            <w:noWrap/>
            <w:vAlign w:val="center"/>
          </w:tcPr>
          <w:p/>
        </w:tc>
        <w:tc>
          <w:tcPr>
            <w:tcW w:w="1422" w:type="dxa"/>
            <w:vMerge/>
            <w:tcBorders>
              <w:top w:val="single" w:sz="4" w:space="0" w:color="auto"/>
              <w:left w:val="single" w:sz="4" w:space="0" w:color="auto"/>
              <w:bottom w:val="single" w:sz="4" w:space="0" w:color="auto"/>
              <w:right w:val="single" w:sz="4" w:space="0" w:color="auto"/>
            </w:tcBorders>
            <w:shd w:val="clear" w:color="auto" w:fill="auto"/>
            <w:noWrap/>
            <w:vAlign w:val="center"/>
          </w:tcPr>
          <w:p/>
        </w:tc>
        <w:tc>
          <w:tcPr>
            <w:tcW w:w="2550"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spacing w:line="240" w:lineRule="auto"/>
              <w:jc w:val="left"/>
              <w:rPr>
                <w:sz w:val="21"/>
              </w:rPr>
            </w:pPr>
            <w:r>
              <w:rPr>
                <w:rFonts w:hint="eastAsia"/>
                <w:sz w:val="21"/>
              </w:rPr>
              <w:t>县级城市建成区黑臭水体消除率</w:t>
            </w:r>
          </w:p>
        </w:tc>
        <w:tc>
          <w:tcPr>
            <w:tcW w:w="709" w:type="dxa"/>
            <w:vMerge/>
            <w:tcBorders>
              <w:top w:val="single" w:sz="4" w:space="0" w:color="auto"/>
              <w:left w:val="single" w:sz="4" w:space="0" w:color="auto"/>
              <w:bottom w:val="single" w:sz="4" w:space="0" w:color="auto"/>
              <w:right w:val="single" w:sz="4" w:space="0" w:color="auto"/>
            </w:tcBorders>
            <w:shd w:val="clear" w:color="auto" w:fill="auto"/>
            <w:noWrap/>
            <w:vAlign w:val="center"/>
          </w:tcPr>
          <w:p/>
        </w:tc>
        <w:tc>
          <w:tcPr>
            <w:tcW w:w="1276" w:type="dxa"/>
            <w:tcBorders>
              <w:top w:val="single" w:sz="4" w:space="0" w:color="auto"/>
              <w:left w:val="single" w:sz="4" w:space="0" w:color="auto"/>
              <w:bottom w:val="single" w:sz="4" w:space="0" w:color="auto"/>
              <w:right w:val="single" w:sz="4" w:space="0" w:color="auto"/>
            </w:tcBorders>
            <w:noWrap/>
            <w:vAlign w:val="center"/>
          </w:tcPr>
          <w:p>
            <w:pPr>
              <w:widowControl/>
              <w:spacing w:line="240" w:lineRule="auto"/>
              <w:jc w:val="center"/>
              <w:rPr>
                <w:sz w:val="21"/>
              </w:rPr>
            </w:pPr>
            <w:r>
              <w:rPr>
                <w:rFonts w:hint="eastAsia"/>
                <w:sz w:val="21"/>
              </w:rPr>
              <w:t>1</w:t>
            </w:r>
            <w:r>
              <w:rPr>
                <w:sz w:val="21"/>
              </w:rPr>
              <w:t>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spacing w:line="240" w:lineRule="auto"/>
              <w:jc w:val="center"/>
              <w:rPr>
                <w:sz w:val="21"/>
              </w:rPr>
            </w:pPr>
            <w:r>
              <w:rPr>
                <w:sz w:val="21"/>
              </w:rPr>
              <w:t>100</w:t>
            </w:r>
          </w:p>
        </w:tc>
        <w:tc>
          <w:tcPr>
            <w:tcW w:w="1134" w:type="dxa"/>
            <w:tcBorders>
              <w:top w:val="single" w:sz="4" w:space="0" w:color="auto"/>
              <w:left w:val="single" w:sz="4" w:space="0" w:color="auto"/>
              <w:bottom w:val="single" w:sz="4" w:space="0" w:color="auto"/>
              <w:right w:val="single" w:sz="4" w:space="0" w:color="auto"/>
            </w:tcBorders>
            <w:noWrap/>
            <w:vAlign w:val="center"/>
          </w:tcPr>
          <w:p>
            <w:pPr>
              <w:widowControl/>
              <w:spacing w:line="240" w:lineRule="auto"/>
              <w:jc w:val="center"/>
              <w:rPr>
                <w:sz w:val="21"/>
              </w:rPr>
            </w:pPr>
            <w:r>
              <w:rPr>
                <w:sz w:val="21"/>
              </w:rPr>
              <w:t>100</w:t>
            </w:r>
          </w:p>
        </w:tc>
        <w:tc>
          <w:tcPr>
            <w:tcW w:w="1275" w:type="dxa"/>
            <w:tcBorders>
              <w:top w:val="single" w:sz="4" w:space="0" w:color="auto"/>
              <w:left w:val="single" w:sz="4" w:space="0" w:color="auto"/>
              <w:bottom w:val="single" w:sz="4" w:space="0" w:color="auto"/>
              <w:right w:val="single" w:sz="4" w:space="0" w:color="auto"/>
            </w:tcBorders>
            <w:noWrap/>
            <w:vAlign w:val="center"/>
          </w:tcPr>
          <w:p>
            <w:pPr>
              <w:widowControl/>
              <w:spacing w:line="240" w:lineRule="auto"/>
              <w:jc w:val="center"/>
              <w:rPr>
                <w:sz w:val="21"/>
              </w:rPr>
            </w:pPr>
            <w:r>
              <w:rPr>
                <w:sz w:val="21"/>
              </w:rPr>
              <w:t>100</w:t>
            </w:r>
          </w:p>
        </w:tc>
        <w:tc>
          <w:tcPr>
            <w:tcW w:w="1134" w:type="dxa"/>
            <w:vMerge/>
            <w:tcBorders>
              <w:top w:val="single" w:sz="4" w:space="0" w:color="auto"/>
              <w:left w:val="single" w:sz="4" w:space="0" w:color="auto"/>
              <w:bottom w:val="single" w:sz="4" w:space="0" w:color="auto"/>
              <w:right w:val="single" w:sz="4" w:space="0" w:color="auto"/>
            </w:tcBorders>
            <w:noWrap/>
            <w:vAlign w:val="center"/>
          </w:tcPr>
          <w:p/>
        </w:tc>
        <w:tc>
          <w:tcPr>
            <w:tcW w:w="993" w:type="dxa"/>
            <w:vMerge/>
            <w:tcBorders>
              <w:top w:val="single" w:sz="4" w:space="0" w:color="auto"/>
              <w:left w:val="single" w:sz="4" w:space="0" w:color="auto"/>
              <w:bottom w:val="single" w:sz="4" w:space="0" w:color="auto"/>
              <w:right w:val="single" w:sz="4" w:space="0" w:color="auto"/>
            </w:tcBorders>
            <w:shd w:val="clear" w:color="auto" w:fill="auto"/>
            <w:noWrap/>
            <w:vAlign w:val="center"/>
          </w:tcPr>
          <w:p/>
        </w:tc>
      </w:tr>
      <w:tr>
        <w:trPr>
          <w:trHeight w:val="190"/>
        </w:trPr>
        <w:tc>
          <w:tcPr>
            <w:tcW w:w="594" w:type="dxa"/>
            <w:vMerge/>
            <w:tcBorders>
              <w:top w:val="single" w:sz="4" w:space="0" w:color="auto"/>
              <w:left w:val="single" w:sz="4" w:space="0" w:color="auto"/>
              <w:bottom w:val="single" w:sz="4" w:space="0" w:color="auto"/>
              <w:right w:val="single" w:sz="4" w:space="0" w:color="auto"/>
            </w:tcBorders>
            <w:noWrap/>
            <w:vAlign w:val="center"/>
          </w:tcP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spacing w:line="240" w:lineRule="auto"/>
              <w:jc w:val="center"/>
              <w:rPr>
                <w:sz w:val="21"/>
              </w:rPr>
            </w:pPr>
            <w:r>
              <w:rPr>
                <w:sz w:val="21"/>
              </w:rPr>
              <w:t>（三）</w:t>
            </w:r>
            <w:r>
              <w:rPr>
                <w:rFonts w:hint="eastAsia"/>
                <w:sz w:val="21"/>
              </w:rPr>
              <w:t>生态质量提升</w:t>
            </w:r>
          </w:p>
        </w:tc>
        <w:tc>
          <w:tcPr>
            <w:tcW w:w="66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spacing w:line="240" w:lineRule="auto"/>
              <w:jc w:val="center"/>
              <w:rPr>
                <w:sz w:val="21"/>
              </w:rPr>
            </w:pPr>
            <w:r>
              <w:rPr>
                <w:sz w:val="21"/>
              </w:rPr>
              <w:t>6</w:t>
            </w:r>
          </w:p>
        </w:tc>
        <w:tc>
          <w:tcPr>
            <w:tcW w:w="142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spacing w:line="240" w:lineRule="auto"/>
              <w:jc w:val="left"/>
              <w:rPr>
                <w:sz w:val="21"/>
              </w:rPr>
            </w:pPr>
            <w:r>
              <w:rPr>
                <w:rFonts w:hint="eastAsia"/>
                <w:sz w:val="21"/>
              </w:rPr>
              <w:t>区域生态保护监管</w:t>
            </w:r>
          </w:p>
        </w:tc>
        <w:tc>
          <w:tcPr>
            <w:tcW w:w="2550"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spacing w:line="240" w:lineRule="auto"/>
              <w:jc w:val="left"/>
              <w:rPr>
                <w:sz w:val="21"/>
              </w:rPr>
            </w:pPr>
            <w:r>
              <w:rPr>
                <w:sz w:val="21"/>
              </w:rPr>
              <w:t>生态质量指数（EQI）</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spacing w:line="240" w:lineRule="auto"/>
              <w:jc w:val="center"/>
              <w:rPr>
                <w:sz w:val="21"/>
              </w:rPr>
            </w:pPr>
            <w:r>
              <w:rPr>
                <w:sz w:val="21"/>
              </w:rPr>
              <w:t>-</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spacing w:line="240" w:lineRule="auto"/>
              <w:jc w:val="center"/>
              <w:rPr>
                <w:sz w:val="21"/>
              </w:rPr>
            </w:pPr>
            <w:r>
              <w:rPr>
                <w:rFonts w:ascii="Cambria Math" w:eastAsia="宋体" w:cs="Cambria Math" w:hAnsi="Cambria Math"/>
                <w:sz w:val="21"/>
              </w:rPr>
              <w:t>△</w:t>
            </w:r>
            <w:r>
              <w:rPr>
                <w:sz w:val="21"/>
              </w:rPr>
              <w:t>EQI</w:t>
            </w:r>
            <w:r>
              <w:rPr>
                <w:rFonts w:hint="eastAsia"/>
                <w:sz w:val="21"/>
              </w:rPr>
              <w:t>＞</w:t>
            </w:r>
            <w:r>
              <w:rPr>
                <w:sz w:val="21"/>
              </w:rPr>
              <w:t>-1</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spacing w:line="240" w:lineRule="auto"/>
              <w:jc w:val="center"/>
              <w:rPr>
                <w:sz w:val="21"/>
              </w:rPr>
            </w:pPr>
            <w:r>
              <w:rPr>
                <w:sz w:val="21"/>
              </w:rPr>
              <w:t>0.27</w:t>
            </w:r>
          </w:p>
        </w:tc>
        <w:tc>
          <w:tcPr>
            <w:tcW w:w="1134" w:type="dxa"/>
            <w:tcBorders>
              <w:top w:val="single" w:sz="4" w:space="0" w:color="auto"/>
              <w:left w:val="single" w:sz="4" w:space="0" w:color="auto"/>
              <w:bottom w:val="single" w:sz="4" w:space="0" w:color="auto"/>
              <w:right w:val="single" w:sz="4" w:space="0" w:color="auto"/>
            </w:tcBorders>
            <w:noWrap/>
            <w:vAlign w:val="center"/>
          </w:tcPr>
          <w:p>
            <w:pPr>
              <w:widowControl/>
              <w:spacing w:line="240" w:lineRule="auto"/>
              <w:jc w:val="center"/>
              <w:rPr>
                <w:sz w:val="21"/>
              </w:rPr>
            </w:pPr>
            <w:r>
              <w:rPr>
                <w:sz w:val="21"/>
              </w:rPr>
              <w:t>稳固提升</w:t>
            </w:r>
          </w:p>
        </w:tc>
        <w:tc>
          <w:tcPr>
            <w:tcW w:w="1275" w:type="dxa"/>
            <w:tcBorders>
              <w:top w:val="single" w:sz="4" w:space="0" w:color="auto"/>
              <w:left w:val="single" w:sz="4" w:space="0" w:color="auto"/>
              <w:bottom w:val="single" w:sz="4" w:space="0" w:color="auto"/>
              <w:right w:val="single" w:sz="4" w:space="0" w:color="auto"/>
            </w:tcBorders>
            <w:noWrap/>
            <w:vAlign w:val="center"/>
          </w:tcPr>
          <w:p>
            <w:pPr>
              <w:widowControl/>
              <w:spacing w:line="240" w:lineRule="auto"/>
              <w:jc w:val="center"/>
              <w:rPr>
                <w:sz w:val="21"/>
              </w:rPr>
            </w:pPr>
            <w:r>
              <w:rPr>
                <w:sz w:val="21"/>
              </w:rPr>
              <w:t>稳固提升</w:t>
            </w:r>
          </w:p>
        </w:tc>
        <w:tc>
          <w:tcPr>
            <w:tcW w:w="1134" w:type="dxa"/>
            <w:tcBorders>
              <w:top w:val="single" w:sz="4" w:space="0" w:color="auto"/>
              <w:left w:val="single" w:sz="4" w:space="0" w:color="auto"/>
              <w:bottom w:val="single" w:sz="4" w:space="0" w:color="auto"/>
              <w:right w:val="single" w:sz="4" w:space="0" w:color="auto"/>
            </w:tcBorders>
            <w:noWrap/>
            <w:vAlign w:val="center"/>
          </w:tcPr>
          <w:p>
            <w:pPr>
              <w:widowControl/>
              <w:spacing w:line="240" w:lineRule="auto"/>
              <w:jc w:val="center"/>
              <w:rPr>
                <w:sz w:val="21"/>
              </w:rPr>
            </w:pPr>
            <w:r>
              <w:rPr>
                <w:sz w:val="21"/>
              </w:rPr>
              <w:t>生态环境局</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spacing w:line="240" w:lineRule="auto"/>
              <w:jc w:val="center"/>
              <w:rPr>
                <w:sz w:val="21"/>
              </w:rPr>
            </w:pPr>
            <w:r>
              <w:rPr>
                <w:sz w:val="21"/>
              </w:rPr>
              <w:t>达标</w:t>
            </w:r>
          </w:p>
        </w:tc>
      </w:tr>
      <w:tr>
        <w:trPr>
          <w:trHeight w:val="190"/>
        </w:trPr>
        <w:tc>
          <w:tcPr>
            <w:tcW w:w="594" w:type="dxa"/>
            <w:vMerge/>
            <w:tcBorders>
              <w:top w:val="single" w:sz="4" w:space="0" w:color="auto"/>
              <w:left w:val="single" w:sz="4" w:space="0" w:color="auto"/>
              <w:bottom w:val="single" w:sz="4" w:space="0" w:color="auto"/>
              <w:right w:val="single" w:sz="4" w:space="0" w:color="auto"/>
            </w:tcBorders>
            <w:noWrap/>
            <w:vAlign w:val="center"/>
          </w:tcPr>
          <w:p/>
        </w:tc>
        <w:tc>
          <w:tcPr>
            <w:tcW w:w="992" w:type="dxa"/>
            <w:vMerge/>
            <w:tcBorders>
              <w:top w:val="single" w:sz="4" w:space="0" w:color="auto"/>
              <w:left w:val="single" w:sz="4" w:space="0" w:color="auto"/>
              <w:bottom w:val="single" w:sz="4" w:space="0" w:color="auto"/>
              <w:right w:val="single" w:sz="4" w:space="0" w:color="auto"/>
            </w:tcBorders>
            <w:shd w:val="clear" w:color="auto" w:fill="auto"/>
            <w:noWrap/>
            <w:vAlign w:val="center"/>
          </w:tcPr>
          <w:p/>
        </w:tc>
        <w:tc>
          <w:tcPr>
            <w:tcW w:w="664" w:type="dxa"/>
            <w:vMerge/>
            <w:tcBorders>
              <w:top w:val="single" w:sz="4" w:space="0" w:color="auto"/>
              <w:left w:val="single" w:sz="4" w:space="0" w:color="auto"/>
              <w:bottom w:val="single" w:sz="4" w:space="0" w:color="auto"/>
              <w:right w:val="single" w:sz="4" w:space="0" w:color="auto"/>
            </w:tcBorders>
            <w:shd w:val="clear" w:color="auto" w:fill="auto"/>
            <w:noWrap/>
            <w:vAlign w:val="center"/>
          </w:tcPr>
          <w:p/>
        </w:tc>
        <w:tc>
          <w:tcPr>
            <w:tcW w:w="1422" w:type="dxa"/>
            <w:vMerge/>
            <w:tcBorders>
              <w:top w:val="single" w:sz="4" w:space="0" w:color="auto"/>
              <w:left w:val="single" w:sz="4" w:space="0" w:color="auto"/>
              <w:bottom w:val="single" w:sz="4" w:space="0" w:color="auto"/>
              <w:right w:val="single" w:sz="4" w:space="0" w:color="auto"/>
            </w:tcBorders>
            <w:shd w:val="clear" w:color="auto" w:fill="auto"/>
            <w:noWrap/>
            <w:vAlign w:val="center"/>
          </w:tcPr>
          <w:p/>
        </w:tc>
        <w:tc>
          <w:tcPr>
            <w:tcW w:w="2550"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spacing w:line="240" w:lineRule="auto"/>
              <w:jc w:val="left"/>
              <w:rPr>
                <w:sz w:val="21"/>
              </w:rPr>
            </w:pPr>
            <w:r>
              <w:rPr>
                <w:rFonts w:hint="eastAsia"/>
                <w:sz w:val="21"/>
              </w:rPr>
              <w:t>自然保护地和生态保护红线生态环境重点问题整改率</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spacing w:line="240" w:lineRule="auto"/>
              <w:jc w:val="center"/>
              <w:rPr>
                <w:sz w:val="21"/>
              </w:rPr>
            </w:pPr>
            <w:r>
              <w:rPr>
                <w:rFonts w:hint="eastAsia"/>
                <w:sz w:val="21"/>
              </w:rPr>
              <w:t>%</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spacing w:line="240" w:lineRule="auto"/>
              <w:jc w:val="center"/>
              <w:rPr>
                <w:rFonts w:ascii="Cambria Math" w:eastAsia="宋体" w:cs="Cambria Math" w:hAnsi="Cambria Math"/>
                <w:sz w:val="21"/>
              </w:rPr>
            </w:pPr>
            <w:r>
              <w:rPr>
                <w:rFonts w:ascii="Cambria Math" w:eastAsia="宋体" w:cs="Cambria Math" w:hAnsi="Cambria Math" w:hint="eastAsia"/>
                <w:sz w:val="21"/>
              </w:rPr>
              <w:t>1</w:t>
            </w:r>
            <w:r>
              <w:rPr>
                <w:rFonts w:ascii="Cambria Math" w:eastAsia="宋体" w:cs="Cambria Math" w:hAnsi="Cambria Math"/>
                <w:sz w:val="21"/>
              </w:rPr>
              <w:t>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spacing w:line="240" w:lineRule="auto"/>
              <w:jc w:val="center"/>
              <w:rPr>
                <w:sz w:val="21"/>
              </w:rPr>
            </w:pPr>
            <w:r>
              <w:rPr>
                <w:rFonts w:hint="eastAsia"/>
                <w:sz w:val="21"/>
              </w:rPr>
              <w:t>1</w:t>
            </w:r>
            <w:r>
              <w:rPr>
                <w:sz w:val="21"/>
              </w:rPr>
              <w:t>00</w:t>
            </w:r>
          </w:p>
        </w:tc>
        <w:tc>
          <w:tcPr>
            <w:tcW w:w="1134" w:type="dxa"/>
            <w:tcBorders>
              <w:top w:val="single" w:sz="4" w:space="0" w:color="auto"/>
              <w:left w:val="single" w:sz="4" w:space="0" w:color="auto"/>
              <w:bottom w:val="single" w:sz="4" w:space="0" w:color="auto"/>
              <w:right w:val="single" w:sz="4" w:space="0" w:color="auto"/>
            </w:tcBorders>
            <w:noWrap/>
            <w:vAlign w:val="center"/>
          </w:tcPr>
          <w:p>
            <w:pPr>
              <w:widowControl/>
              <w:spacing w:line="240" w:lineRule="auto"/>
              <w:jc w:val="center"/>
              <w:rPr>
                <w:sz w:val="21"/>
              </w:rPr>
            </w:pPr>
            <w:r>
              <w:rPr>
                <w:rFonts w:hint="eastAsia"/>
                <w:sz w:val="21"/>
              </w:rPr>
              <w:t>1</w:t>
            </w:r>
            <w:r>
              <w:rPr>
                <w:sz w:val="21"/>
              </w:rPr>
              <w:t>00</w:t>
            </w:r>
          </w:p>
        </w:tc>
        <w:tc>
          <w:tcPr>
            <w:tcW w:w="1275" w:type="dxa"/>
            <w:tcBorders>
              <w:top w:val="single" w:sz="4" w:space="0" w:color="auto"/>
              <w:left w:val="single" w:sz="4" w:space="0" w:color="auto"/>
              <w:bottom w:val="single" w:sz="4" w:space="0" w:color="auto"/>
              <w:right w:val="single" w:sz="4" w:space="0" w:color="auto"/>
            </w:tcBorders>
            <w:noWrap/>
            <w:vAlign w:val="center"/>
          </w:tcPr>
          <w:p>
            <w:pPr>
              <w:widowControl/>
              <w:spacing w:line="240" w:lineRule="auto"/>
              <w:jc w:val="center"/>
              <w:rPr>
                <w:sz w:val="21"/>
              </w:rPr>
            </w:pPr>
            <w:r>
              <w:rPr>
                <w:rFonts w:hint="eastAsia"/>
                <w:sz w:val="21"/>
              </w:rPr>
              <w:t>1</w:t>
            </w:r>
            <w:r>
              <w:rPr>
                <w:sz w:val="21"/>
              </w:rPr>
              <w:t>00</w:t>
            </w:r>
          </w:p>
        </w:tc>
        <w:tc>
          <w:tcPr>
            <w:tcW w:w="1134" w:type="dxa"/>
            <w:tcBorders>
              <w:top w:val="single" w:sz="4" w:space="0" w:color="auto"/>
              <w:left w:val="single" w:sz="4" w:space="0" w:color="auto"/>
              <w:bottom w:val="single" w:sz="4" w:space="0" w:color="auto"/>
              <w:right w:val="single" w:sz="4" w:space="0" w:color="auto"/>
            </w:tcBorders>
            <w:noWrap/>
            <w:vAlign w:val="center"/>
          </w:tcPr>
          <w:p>
            <w:pPr>
              <w:widowControl/>
              <w:spacing w:line="240" w:lineRule="auto"/>
              <w:jc w:val="center"/>
              <w:rPr>
                <w:sz w:val="21"/>
              </w:rPr>
            </w:pPr>
            <w:r>
              <w:rPr>
                <w:rFonts w:hint="eastAsia"/>
                <w:sz w:val="21"/>
              </w:rPr>
              <w:t>生态环境局</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spacing w:line="240" w:lineRule="auto"/>
              <w:jc w:val="center"/>
              <w:rPr>
                <w:sz w:val="21"/>
              </w:rPr>
            </w:pPr>
            <w:r>
              <w:rPr>
                <w:rFonts w:hint="eastAsia"/>
                <w:sz w:val="21"/>
              </w:rPr>
              <w:t>达标</w:t>
            </w:r>
          </w:p>
        </w:tc>
      </w:tr>
      <w:tr>
        <w:trPr>
          <w:trHeight w:val="190"/>
        </w:trPr>
        <w:tc>
          <w:tcPr>
            <w:tcW w:w="594" w:type="dxa"/>
            <w:vMerge/>
            <w:tcBorders>
              <w:top w:val="single" w:sz="4" w:space="0" w:color="auto"/>
              <w:left w:val="single" w:sz="4" w:space="0" w:color="auto"/>
              <w:bottom w:val="single" w:sz="4" w:space="0" w:color="auto"/>
              <w:right w:val="single" w:sz="4" w:space="0" w:color="auto"/>
            </w:tcBorders>
            <w:noWrap/>
            <w:vAlign w:val="center"/>
          </w:tcPr>
          <w:p/>
        </w:tc>
        <w:tc>
          <w:tcPr>
            <w:tcW w:w="992" w:type="dxa"/>
            <w:vMerge/>
            <w:tcBorders>
              <w:top w:val="single" w:sz="4" w:space="0" w:color="auto"/>
              <w:left w:val="single" w:sz="4" w:space="0" w:color="auto"/>
              <w:bottom w:val="single" w:sz="4" w:space="0" w:color="auto"/>
              <w:right w:val="single" w:sz="4" w:space="0" w:color="auto"/>
            </w:tcBorders>
            <w:shd w:val="clear" w:color="auto" w:fill="auto"/>
            <w:noWrap/>
            <w:vAlign w:val="center"/>
          </w:tcPr>
          <w:p/>
        </w:tc>
        <w:tc>
          <w:tcPr>
            <w:tcW w:w="664" w:type="dxa"/>
            <w:vMerge/>
            <w:tcBorders>
              <w:top w:val="single" w:sz="4" w:space="0" w:color="auto"/>
              <w:left w:val="single" w:sz="4" w:space="0" w:color="auto"/>
              <w:bottom w:val="single" w:sz="4" w:space="0" w:color="auto"/>
              <w:right w:val="single" w:sz="4" w:space="0" w:color="auto"/>
            </w:tcBorders>
            <w:shd w:val="clear" w:color="auto" w:fill="auto"/>
            <w:noWrap/>
            <w:vAlign w:val="center"/>
          </w:tcPr>
          <w:p/>
        </w:tc>
        <w:tc>
          <w:tcPr>
            <w:tcW w:w="1422" w:type="dxa"/>
            <w:vMerge/>
            <w:tcBorders>
              <w:top w:val="single" w:sz="4" w:space="0" w:color="auto"/>
              <w:left w:val="single" w:sz="4" w:space="0" w:color="auto"/>
              <w:bottom w:val="single" w:sz="4" w:space="0" w:color="auto"/>
              <w:right w:val="single" w:sz="4" w:space="0" w:color="auto"/>
            </w:tcBorders>
            <w:shd w:val="clear" w:color="auto" w:fill="auto"/>
            <w:noWrap/>
            <w:vAlign w:val="center"/>
          </w:tcPr>
          <w:p/>
        </w:tc>
        <w:tc>
          <w:tcPr>
            <w:tcW w:w="2550"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spacing w:line="240" w:lineRule="auto"/>
              <w:jc w:val="left"/>
              <w:rPr>
                <w:sz w:val="21"/>
              </w:rPr>
            </w:pPr>
            <w:r>
              <w:rPr>
                <w:rFonts w:hint="eastAsia"/>
                <w:sz w:val="21"/>
              </w:rPr>
              <w:t>生物多样性调查</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spacing w:line="240" w:lineRule="auto"/>
              <w:jc w:val="center"/>
              <w:rPr>
                <w:sz w:val="21"/>
              </w:rPr>
            </w:pPr>
            <w:r>
              <w:rPr>
                <w:rFonts w:hint="eastAsia"/>
                <w:sz w:val="21"/>
              </w:rPr>
              <w:t>-</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spacing w:line="240" w:lineRule="auto"/>
              <w:jc w:val="center"/>
              <w:rPr>
                <w:rFonts w:ascii="Cambria Math" w:eastAsia="宋体" w:cs="Cambria Math" w:hAnsi="Cambria Math"/>
                <w:sz w:val="21"/>
              </w:rPr>
            </w:pPr>
            <w:r>
              <w:rPr>
                <w:rFonts w:hint="eastAsia"/>
                <w:sz w:val="21"/>
              </w:rPr>
              <w:t>开展</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spacing w:line="240" w:lineRule="auto"/>
              <w:jc w:val="center"/>
              <w:rPr>
                <w:sz w:val="21"/>
              </w:rPr>
            </w:pPr>
            <w:r>
              <w:rPr>
                <w:rFonts w:hint="eastAsia"/>
                <w:sz w:val="21"/>
              </w:rPr>
              <w:t>开展</w:t>
            </w:r>
          </w:p>
        </w:tc>
        <w:tc>
          <w:tcPr>
            <w:tcW w:w="1134" w:type="dxa"/>
            <w:tcBorders>
              <w:top w:val="single" w:sz="4" w:space="0" w:color="auto"/>
              <w:left w:val="single" w:sz="4" w:space="0" w:color="auto"/>
              <w:bottom w:val="single" w:sz="4" w:space="0" w:color="auto"/>
              <w:right w:val="single" w:sz="4" w:space="0" w:color="auto"/>
            </w:tcBorders>
            <w:noWrap/>
            <w:vAlign w:val="center"/>
          </w:tcPr>
          <w:p>
            <w:pPr>
              <w:widowControl/>
              <w:spacing w:line="240" w:lineRule="auto"/>
              <w:jc w:val="center"/>
              <w:rPr>
                <w:sz w:val="21"/>
              </w:rPr>
            </w:pPr>
            <w:r>
              <w:rPr>
                <w:rFonts w:hint="eastAsia"/>
                <w:sz w:val="21"/>
              </w:rPr>
              <w:t>开展</w:t>
            </w:r>
          </w:p>
        </w:tc>
        <w:tc>
          <w:tcPr>
            <w:tcW w:w="1275" w:type="dxa"/>
            <w:tcBorders>
              <w:top w:val="single" w:sz="4" w:space="0" w:color="auto"/>
              <w:left w:val="single" w:sz="4" w:space="0" w:color="auto"/>
              <w:bottom w:val="single" w:sz="4" w:space="0" w:color="auto"/>
              <w:right w:val="single" w:sz="4" w:space="0" w:color="auto"/>
            </w:tcBorders>
            <w:noWrap/>
            <w:vAlign w:val="center"/>
          </w:tcPr>
          <w:p>
            <w:pPr>
              <w:widowControl/>
              <w:spacing w:line="240" w:lineRule="auto"/>
              <w:jc w:val="center"/>
              <w:rPr>
                <w:sz w:val="21"/>
              </w:rPr>
            </w:pPr>
            <w:r>
              <w:rPr>
                <w:rFonts w:hint="eastAsia"/>
                <w:sz w:val="21"/>
              </w:rPr>
              <w:t>开展</w:t>
            </w:r>
          </w:p>
        </w:tc>
        <w:tc>
          <w:tcPr>
            <w:tcW w:w="1134" w:type="dxa"/>
            <w:tcBorders>
              <w:top w:val="single" w:sz="4" w:space="0" w:color="auto"/>
              <w:left w:val="single" w:sz="4" w:space="0" w:color="auto"/>
              <w:bottom w:val="single" w:sz="4" w:space="0" w:color="auto"/>
              <w:right w:val="single" w:sz="4" w:space="0" w:color="auto"/>
            </w:tcBorders>
            <w:noWrap/>
            <w:vAlign w:val="center"/>
          </w:tcPr>
          <w:p>
            <w:pPr>
              <w:widowControl/>
              <w:spacing w:line="240" w:lineRule="auto"/>
              <w:jc w:val="center"/>
              <w:rPr>
                <w:sz w:val="21"/>
              </w:rPr>
            </w:pPr>
            <w:r>
              <w:rPr>
                <w:rFonts w:hint="eastAsia"/>
                <w:sz w:val="21"/>
              </w:rPr>
              <w:t>生态环境局</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spacing w:line="240" w:lineRule="auto"/>
              <w:jc w:val="center"/>
              <w:rPr>
                <w:sz w:val="21"/>
              </w:rPr>
            </w:pPr>
            <w:r>
              <w:rPr>
                <w:rFonts w:hint="eastAsia"/>
                <w:sz w:val="21"/>
              </w:rPr>
              <w:t>达标</w:t>
            </w:r>
          </w:p>
        </w:tc>
      </w:tr>
      <w:tr>
        <w:trPr>
          <w:trHeight w:val="340"/>
        </w:trPr>
        <w:tc>
          <w:tcPr>
            <w:tcW w:w="594" w:type="dxa"/>
            <w:vMerge/>
            <w:tcBorders>
              <w:top w:val="single" w:sz="4" w:space="0" w:color="auto"/>
              <w:left w:val="single" w:sz="4" w:space="0" w:color="auto"/>
              <w:bottom w:val="single" w:sz="4" w:space="0" w:color="auto"/>
              <w:right w:val="single" w:sz="4" w:space="0" w:color="auto"/>
            </w:tcBorders>
            <w:noWrap/>
            <w:vAlign w:val="center"/>
          </w:tcPr>
          <w:p/>
        </w:tc>
        <w:tc>
          <w:tcPr>
            <w:tcW w:w="992" w:type="dxa"/>
            <w:vMerge/>
            <w:tcBorders>
              <w:top w:val="single" w:sz="4" w:space="0" w:color="auto"/>
              <w:left w:val="single" w:sz="4" w:space="0" w:color="auto"/>
              <w:bottom w:val="single" w:sz="4" w:space="0" w:color="auto"/>
              <w:right w:val="single" w:sz="4" w:space="0" w:color="auto"/>
            </w:tcBorders>
            <w:noWrap/>
            <w:vAlign w:val="center"/>
          </w:tcPr>
          <w:p/>
        </w:tc>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spacing w:line="240" w:lineRule="auto"/>
              <w:jc w:val="center"/>
              <w:rPr>
                <w:sz w:val="21"/>
              </w:rPr>
            </w:pPr>
            <w:r>
              <w:rPr>
                <w:sz w:val="21"/>
              </w:rPr>
              <w:t>7</w:t>
            </w:r>
          </w:p>
        </w:tc>
        <w:tc>
          <w:tcPr>
            <w:tcW w:w="1422"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spacing w:line="240" w:lineRule="auto"/>
              <w:jc w:val="left"/>
              <w:rPr>
                <w:sz w:val="21"/>
              </w:rPr>
            </w:pPr>
            <w:r>
              <w:rPr>
                <w:rFonts w:hint="eastAsia"/>
                <w:sz w:val="21"/>
              </w:rPr>
              <w:t>生态系统保护修复</w:t>
            </w:r>
          </w:p>
        </w:tc>
        <w:tc>
          <w:tcPr>
            <w:tcW w:w="2550"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spacing w:line="240" w:lineRule="auto"/>
              <w:jc w:val="left"/>
              <w:rPr>
                <w:sz w:val="21"/>
              </w:rPr>
            </w:pPr>
            <w:r>
              <w:rPr>
                <w:rFonts w:hint="eastAsia"/>
                <w:sz w:val="21"/>
              </w:rPr>
              <w:t>森林覆盖率</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spacing w:line="240" w:lineRule="auto"/>
              <w:jc w:val="center"/>
              <w:rPr>
                <w:sz w:val="21"/>
              </w:rPr>
            </w:pPr>
            <w:r>
              <w:rPr>
                <w:sz w:val="21"/>
              </w:rPr>
              <w:t>%</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spacing w:line="240" w:lineRule="auto"/>
              <w:jc w:val="center"/>
              <w:rPr>
                <w:sz w:val="21"/>
              </w:rPr>
            </w:pPr>
            <w:r>
              <w:rPr>
                <w:rFonts w:hint="eastAsia"/>
                <w:sz w:val="21"/>
              </w:rPr>
              <w:t>保持稳定或持续改善</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spacing w:line="240" w:lineRule="auto"/>
              <w:jc w:val="center"/>
              <w:rPr>
                <w:sz w:val="21"/>
              </w:rPr>
            </w:pPr>
            <w:r>
              <w:rPr>
                <w:sz w:val="21"/>
              </w:rPr>
              <w:t>31.46</w:t>
            </w:r>
            <w:r>
              <w:rPr>
                <w:rFonts w:hint="eastAsia"/>
                <w:sz w:val="21"/>
              </w:rPr>
              <w:t>，持续改善</w:t>
            </w:r>
            <w:r>
              <w:rPr>
                <w:sz w:val="21"/>
              </w:rPr>
              <w:t xml:space="preserve"> </w:t>
            </w:r>
          </w:p>
        </w:tc>
        <w:tc>
          <w:tcPr>
            <w:tcW w:w="1134" w:type="dxa"/>
            <w:tcBorders>
              <w:top w:val="single" w:sz="4" w:space="0" w:color="auto"/>
              <w:left w:val="single" w:sz="4" w:space="0" w:color="auto"/>
              <w:bottom w:val="single" w:sz="4" w:space="0" w:color="auto"/>
              <w:right w:val="single" w:sz="4" w:space="0" w:color="auto"/>
            </w:tcBorders>
            <w:noWrap/>
            <w:vAlign w:val="center"/>
          </w:tcPr>
          <w:p>
            <w:pPr>
              <w:widowControl/>
              <w:spacing w:line="240" w:lineRule="auto"/>
              <w:jc w:val="center"/>
              <w:rPr>
                <w:sz w:val="21"/>
              </w:rPr>
            </w:pPr>
            <w:r>
              <w:rPr>
                <w:sz w:val="21"/>
              </w:rPr>
              <w:t>31.5</w:t>
            </w:r>
          </w:p>
        </w:tc>
        <w:tc>
          <w:tcPr>
            <w:tcW w:w="1275" w:type="dxa"/>
            <w:tcBorders>
              <w:top w:val="single" w:sz="4" w:space="0" w:color="auto"/>
              <w:left w:val="single" w:sz="4" w:space="0" w:color="auto"/>
              <w:bottom w:val="single" w:sz="4" w:space="0" w:color="auto"/>
              <w:right w:val="single" w:sz="4" w:space="0" w:color="auto"/>
            </w:tcBorders>
            <w:noWrap/>
            <w:vAlign w:val="center"/>
          </w:tcPr>
          <w:p>
            <w:pPr>
              <w:widowControl/>
              <w:spacing w:line="240" w:lineRule="auto"/>
              <w:jc w:val="center"/>
              <w:rPr>
                <w:sz w:val="21"/>
              </w:rPr>
            </w:pPr>
            <w:r>
              <w:rPr>
                <w:sz w:val="21"/>
              </w:rPr>
              <w:t>33</w:t>
            </w:r>
          </w:p>
        </w:tc>
        <w:tc>
          <w:tcPr>
            <w:tcW w:w="1134" w:type="dxa"/>
            <w:tcBorders>
              <w:top w:val="single" w:sz="4" w:space="0" w:color="auto"/>
              <w:left w:val="single" w:sz="4" w:space="0" w:color="auto"/>
              <w:bottom w:val="single" w:sz="4" w:space="0" w:color="auto"/>
              <w:right w:val="single" w:sz="4" w:space="0" w:color="auto"/>
            </w:tcBorders>
            <w:noWrap/>
            <w:vAlign w:val="center"/>
          </w:tcPr>
          <w:p>
            <w:pPr>
              <w:widowControl/>
              <w:spacing w:line="240" w:lineRule="auto"/>
              <w:jc w:val="center"/>
              <w:rPr>
                <w:sz w:val="21"/>
              </w:rPr>
            </w:pPr>
            <w:r>
              <w:rPr>
                <w:sz w:val="21"/>
              </w:rPr>
              <w:t>农业农村局</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spacing w:line="240" w:lineRule="auto"/>
              <w:jc w:val="center"/>
              <w:rPr>
                <w:sz w:val="21"/>
              </w:rPr>
            </w:pPr>
            <w:r>
              <w:rPr>
                <w:sz w:val="21"/>
              </w:rPr>
              <w:t>达标</w:t>
            </w:r>
          </w:p>
        </w:tc>
      </w:tr>
      <w:tr>
        <w:trPr>
          <w:trHeight w:val="340"/>
        </w:trPr>
        <w:tc>
          <w:tcPr>
            <w:tcW w:w="594" w:type="dxa"/>
            <w:vMerge/>
            <w:tcBorders>
              <w:top w:val="single" w:sz="4" w:space="0" w:color="auto"/>
              <w:left w:val="single" w:sz="4" w:space="0" w:color="auto"/>
              <w:bottom w:val="single" w:sz="4" w:space="0" w:color="auto"/>
              <w:right w:val="single" w:sz="4" w:space="0" w:color="auto"/>
            </w:tcBorders>
            <w:noWrap/>
            <w:vAlign w:val="center"/>
          </w:tcPr>
          <w:p/>
        </w:tc>
        <w:tc>
          <w:tcPr>
            <w:tcW w:w="992" w:type="dxa"/>
            <w:vMerge w:val="restart"/>
            <w:tcBorders>
              <w:top w:val="single" w:sz="4" w:space="0" w:color="auto"/>
              <w:left w:val="single" w:sz="4" w:space="0" w:color="auto"/>
              <w:bottom w:val="single" w:sz="4" w:space="0" w:color="auto"/>
              <w:right w:val="single" w:sz="4" w:space="0" w:color="auto"/>
            </w:tcBorders>
            <w:noWrap/>
            <w:vAlign w:val="center"/>
          </w:tcPr>
          <w:p>
            <w:pPr>
              <w:spacing w:line="240" w:lineRule="auto"/>
              <w:jc w:val="center"/>
              <w:rPr>
                <w:sz w:val="21"/>
              </w:rPr>
            </w:pPr>
            <w:r>
              <w:rPr>
                <w:rFonts w:hint="eastAsia"/>
                <w:sz w:val="21"/>
              </w:rPr>
              <w:t>（四）生态环境风险防范</w:t>
            </w:r>
          </w:p>
        </w:tc>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spacing w:line="240" w:lineRule="auto"/>
              <w:jc w:val="center"/>
              <w:rPr>
                <w:sz w:val="21"/>
              </w:rPr>
            </w:pPr>
            <w:r>
              <w:rPr>
                <w:sz w:val="21"/>
              </w:rPr>
              <w:t>8</w:t>
            </w:r>
          </w:p>
        </w:tc>
        <w:tc>
          <w:tcPr>
            <w:tcW w:w="397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spacing w:line="240" w:lineRule="auto"/>
              <w:rPr>
                <w:sz w:val="21"/>
              </w:rPr>
            </w:pPr>
            <w:r>
              <w:rPr>
                <w:rFonts w:hint="eastAsia"/>
                <w:sz w:val="21"/>
              </w:rPr>
              <w:t>受污染耕地安全利用率</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spacing w:line="240" w:lineRule="auto"/>
              <w:jc w:val="center"/>
              <w:rPr>
                <w:sz w:val="21"/>
              </w:rPr>
            </w:pPr>
            <w:r>
              <w:rPr>
                <w:sz w:val="21"/>
              </w:rPr>
              <w:t>%</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spacing w:line="240" w:lineRule="auto"/>
              <w:jc w:val="center"/>
              <w:rPr>
                <w:sz w:val="21"/>
              </w:rPr>
            </w:pPr>
            <w:r>
              <w:rPr>
                <w:sz w:val="21"/>
              </w:rPr>
              <w:t>≥93</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spacing w:line="240" w:lineRule="auto"/>
              <w:jc w:val="center"/>
              <w:rPr>
                <w:sz w:val="21"/>
              </w:rPr>
            </w:pPr>
            <w:r>
              <w:rPr>
                <w:rFonts w:hint="eastAsia"/>
                <w:sz w:val="21"/>
              </w:rPr>
              <w:t>1</w:t>
            </w:r>
            <w:r>
              <w:rPr>
                <w:sz w:val="21"/>
              </w:rPr>
              <w:t>00</w:t>
            </w:r>
            <w:r>
              <w:rPr>
                <w:rFonts w:hint="eastAsia"/>
                <w:sz w:val="21"/>
              </w:rPr>
              <w:t>（无受污染耕地）</w:t>
            </w:r>
          </w:p>
        </w:tc>
        <w:tc>
          <w:tcPr>
            <w:tcW w:w="1134" w:type="dxa"/>
            <w:tcBorders>
              <w:top w:val="single" w:sz="4" w:space="0" w:color="auto"/>
              <w:left w:val="single" w:sz="4" w:space="0" w:color="auto"/>
              <w:bottom w:val="single" w:sz="4" w:space="0" w:color="auto"/>
              <w:right w:val="single" w:sz="4" w:space="0" w:color="auto"/>
            </w:tcBorders>
            <w:noWrap/>
            <w:vAlign w:val="center"/>
          </w:tcPr>
          <w:p>
            <w:pPr>
              <w:widowControl/>
              <w:spacing w:line="240" w:lineRule="auto"/>
              <w:jc w:val="center"/>
              <w:rPr>
                <w:sz w:val="21"/>
              </w:rPr>
            </w:pPr>
            <w:r>
              <w:rPr>
                <w:rFonts w:hint="eastAsia"/>
                <w:sz w:val="21"/>
              </w:rPr>
              <w:t>1</w:t>
            </w:r>
            <w:r>
              <w:rPr>
                <w:sz w:val="21"/>
              </w:rPr>
              <w:t>00</w:t>
            </w:r>
          </w:p>
        </w:tc>
        <w:tc>
          <w:tcPr>
            <w:tcW w:w="1275" w:type="dxa"/>
            <w:tcBorders>
              <w:top w:val="single" w:sz="4" w:space="0" w:color="auto"/>
              <w:left w:val="single" w:sz="4" w:space="0" w:color="auto"/>
              <w:bottom w:val="single" w:sz="4" w:space="0" w:color="auto"/>
              <w:right w:val="single" w:sz="4" w:space="0" w:color="auto"/>
            </w:tcBorders>
            <w:noWrap/>
            <w:vAlign w:val="center"/>
          </w:tcPr>
          <w:p>
            <w:pPr>
              <w:widowControl/>
              <w:spacing w:line="240" w:lineRule="auto"/>
              <w:jc w:val="center"/>
              <w:rPr>
                <w:sz w:val="21"/>
              </w:rPr>
            </w:pPr>
            <w:r>
              <w:rPr>
                <w:rFonts w:hint="eastAsia"/>
                <w:sz w:val="21"/>
              </w:rPr>
              <w:t>1</w:t>
            </w:r>
            <w:r>
              <w:rPr>
                <w:sz w:val="21"/>
              </w:rPr>
              <w:t>00</w:t>
            </w:r>
          </w:p>
        </w:tc>
        <w:tc>
          <w:tcPr>
            <w:tcW w:w="1134" w:type="dxa"/>
            <w:tcBorders>
              <w:top w:val="single" w:sz="4" w:space="0" w:color="auto"/>
              <w:left w:val="single" w:sz="4" w:space="0" w:color="auto"/>
              <w:bottom w:val="single" w:sz="4" w:space="0" w:color="auto"/>
              <w:right w:val="single" w:sz="4" w:space="0" w:color="auto"/>
            </w:tcBorders>
            <w:noWrap/>
            <w:vAlign w:val="center"/>
          </w:tcPr>
          <w:p>
            <w:pPr>
              <w:spacing w:line="240" w:lineRule="auto"/>
              <w:jc w:val="center"/>
              <w:rPr>
                <w:sz w:val="21"/>
              </w:rPr>
            </w:pPr>
            <w:r>
              <w:rPr>
                <w:rFonts w:hint="eastAsia"/>
                <w:sz w:val="21"/>
              </w:rPr>
              <w:t>生态环境局</w:t>
            </w:r>
          </w:p>
          <w:p>
            <w:pPr>
              <w:widowControl/>
              <w:spacing w:line="240" w:lineRule="auto"/>
              <w:jc w:val="center"/>
              <w:rPr>
                <w:sz w:val="21"/>
              </w:rPr>
            </w:pPr>
            <w:r>
              <w:rPr>
                <w:rFonts w:hint="eastAsia"/>
                <w:sz w:val="21"/>
              </w:rPr>
              <w:t>农业农村局</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spacing w:line="240" w:lineRule="auto"/>
              <w:jc w:val="center"/>
              <w:rPr>
                <w:sz w:val="21"/>
              </w:rPr>
            </w:pPr>
            <w:r>
              <w:rPr>
                <w:sz w:val="21"/>
              </w:rPr>
              <w:t>达标</w:t>
            </w:r>
          </w:p>
        </w:tc>
      </w:tr>
      <w:tr>
        <w:trPr>
          <w:trHeight w:val="340"/>
        </w:trPr>
        <w:tc>
          <w:tcPr>
            <w:tcW w:w="594" w:type="dxa"/>
            <w:vMerge/>
            <w:tcBorders>
              <w:top w:val="single" w:sz="4" w:space="0" w:color="auto"/>
              <w:left w:val="single" w:sz="4" w:space="0" w:color="auto"/>
              <w:bottom w:val="single" w:sz="4" w:space="0" w:color="auto"/>
              <w:right w:val="single" w:sz="4" w:space="0" w:color="auto"/>
            </w:tcBorders>
            <w:noWrap/>
            <w:vAlign w:val="center"/>
          </w:tcPr>
          <w:p/>
        </w:tc>
        <w:tc>
          <w:tcPr>
            <w:tcW w:w="992" w:type="dxa"/>
            <w:vMerge/>
            <w:tcBorders>
              <w:top w:val="single" w:sz="4" w:space="0" w:color="auto"/>
              <w:left w:val="single" w:sz="4" w:space="0" w:color="auto"/>
              <w:bottom w:val="single" w:sz="4" w:space="0" w:color="auto"/>
              <w:right w:val="single" w:sz="4" w:space="0" w:color="auto"/>
            </w:tcBorders>
            <w:noWrap/>
            <w:vAlign w:val="center"/>
          </w:tcPr>
          <w:p/>
        </w:tc>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spacing w:line="240" w:lineRule="auto"/>
              <w:jc w:val="center"/>
              <w:rPr>
                <w:sz w:val="21"/>
              </w:rPr>
            </w:pPr>
            <w:r>
              <w:rPr>
                <w:sz w:val="21"/>
              </w:rPr>
              <w:t>9</w:t>
            </w:r>
          </w:p>
        </w:tc>
        <w:tc>
          <w:tcPr>
            <w:tcW w:w="397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spacing w:line="240" w:lineRule="auto"/>
              <w:rPr>
                <w:sz w:val="21"/>
              </w:rPr>
            </w:pPr>
            <w:r>
              <w:rPr>
                <w:rFonts w:hint="eastAsia"/>
                <w:sz w:val="21"/>
              </w:rPr>
              <w:t>重点建设用地安全利用</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spacing w:line="240" w:lineRule="auto"/>
              <w:jc w:val="center"/>
              <w:rPr>
                <w:sz w:val="21"/>
              </w:rPr>
            </w:pPr>
            <w:r>
              <w:rPr>
                <w:sz w:val="21"/>
              </w:rPr>
              <w:t>-</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spacing w:line="240" w:lineRule="auto"/>
              <w:jc w:val="center"/>
              <w:rPr>
                <w:sz w:val="21"/>
              </w:rPr>
            </w:pPr>
            <w:r>
              <w:rPr>
                <w:rFonts w:hint="eastAsia"/>
                <w:sz w:val="21"/>
              </w:rPr>
              <w:t>有效保障</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pPr>
              <w:widowControl/>
              <w:spacing w:line="240" w:lineRule="auto"/>
              <w:jc w:val="center"/>
              <w:rPr>
                <w:sz w:val="21"/>
              </w:rPr>
            </w:pPr>
            <w:r>
              <w:rPr>
                <w:rFonts w:hint="eastAsia"/>
                <w:sz w:val="21"/>
              </w:rPr>
              <w:t>有效保障</w:t>
            </w:r>
          </w:p>
        </w:tc>
        <w:tc>
          <w:tcPr>
            <w:tcW w:w="1134" w:type="dxa"/>
            <w:tcBorders>
              <w:top w:val="single" w:sz="4" w:space="0" w:color="auto"/>
              <w:left w:val="single" w:sz="4" w:space="0" w:color="auto"/>
              <w:bottom w:val="single" w:sz="4" w:space="0" w:color="auto"/>
              <w:right w:val="single" w:sz="4" w:space="0" w:color="auto"/>
            </w:tcBorders>
            <w:noWrap/>
          </w:tcPr>
          <w:p>
            <w:pPr>
              <w:widowControl/>
              <w:spacing w:line="240" w:lineRule="auto"/>
              <w:jc w:val="center"/>
              <w:rPr>
                <w:sz w:val="21"/>
              </w:rPr>
            </w:pPr>
            <w:r>
              <w:rPr>
                <w:rFonts w:hint="eastAsia"/>
                <w:sz w:val="21"/>
              </w:rPr>
              <w:t>有效保障</w:t>
            </w:r>
          </w:p>
        </w:tc>
        <w:tc>
          <w:tcPr>
            <w:tcW w:w="1275" w:type="dxa"/>
            <w:tcBorders>
              <w:top w:val="single" w:sz="4" w:space="0" w:color="auto"/>
              <w:left w:val="single" w:sz="4" w:space="0" w:color="auto"/>
              <w:bottom w:val="single" w:sz="4" w:space="0" w:color="auto"/>
              <w:right w:val="single" w:sz="4" w:space="0" w:color="auto"/>
            </w:tcBorders>
            <w:noWrap/>
          </w:tcPr>
          <w:p>
            <w:pPr>
              <w:widowControl/>
              <w:spacing w:line="240" w:lineRule="auto"/>
              <w:jc w:val="center"/>
              <w:rPr>
                <w:sz w:val="21"/>
              </w:rPr>
            </w:pPr>
            <w:r>
              <w:rPr>
                <w:rFonts w:hint="eastAsia"/>
                <w:sz w:val="21"/>
              </w:rPr>
              <w:t>有效保障</w:t>
            </w:r>
          </w:p>
        </w:tc>
        <w:tc>
          <w:tcPr>
            <w:tcW w:w="1134" w:type="dxa"/>
            <w:tcBorders>
              <w:top w:val="single" w:sz="4" w:space="0" w:color="auto"/>
              <w:left w:val="single" w:sz="4" w:space="0" w:color="auto"/>
              <w:bottom w:val="single" w:sz="4" w:space="0" w:color="auto"/>
              <w:right w:val="single" w:sz="4" w:space="0" w:color="auto"/>
            </w:tcBorders>
            <w:noWrap/>
            <w:vAlign w:val="center"/>
          </w:tcPr>
          <w:p>
            <w:pPr>
              <w:widowControl/>
              <w:spacing w:line="240" w:lineRule="auto"/>
              <w:jc w:val="center"/>
              <w:rPr>
                <w:sz w:val="21"/>
              </w:rPr>
            </w:pPr>
            <w:r>
              <w:rPr>
                <w:rFonts w:hint="eastAsia"/>
                <w:sz w:val="21"/>
              </w:rPr>
              <w:t>生态环境局</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spacing w:line="240" w:lineRule="auto"/>
              <w:jc w:val="center"/>
              <w:rPr>
                <w:sz w:val="21"/>
              </w:rPr>
            </w:pPr>
            <w:r>
              <w:rPr>
                <w:sz w:val="21"/>
              </w:rPr>
              <w:t>达标</w:t>
            </w:r>
          </w:p>
        </w:tc>
      </w:tr>
      <w:tr>
        <w:trPr>
          <w:trHeight w:val="340"/>
        </w:trPr>
        <w:tc>
          <w:tcPr>
            <w:tcW w:w="594" w:type="dxa"/>
            <w:vMerge/>
            <w:tcBorders>
              <w:top w:val="single" w:sz="4" w:space="0" w:color="auto"/>
              <w:left w:val="single" w:sz="4" w:space="0" w:color="auto"/>
              <w:bottom w:val="single" w:sz="4" w:space="0" w:color="auto"/>
              <w:right w:val="single" w:sz="4" w:space="0" w:color="auto"/>
            </w:tcBorders>
            <w:noWrap/>
            <w:vAlign w:val="center"/>
          </w:tcPr>
          <w:p/>
        </w:tc>
        <w:tc>
          <w:tcPr>
            <w:tcW w:w="992" w:type="dxa"/>
            <w:vMerge/>
            <w:tcBorders>
              <w:top w:val="single" w:sz="4" w:space="0" w:color="auto"/>
              <w:left w:val="single" w:sz="4" w:space="0" w:color="auto"/>
              <w:bottom w:val="single" w:sz="4" w:space="0" w:color="auto"/>
              <w:right w:val="single" w:sz="4" w:space="0" w:color="auto"/>
            </w:tcBorders>
            <w:noWrap/>
            <w:vAlign w:val="center"/>
          </w:tcPr>
          <w:p/>
        </w:tc>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spacing w:line="240" w:lineRule="auto"/>
              <w:jc w:val="center"/>
              <w:rPr>
                <w:sz w:val="21"/>
              </w:rPr>
            </w:pPr>
            <w:r>
              <w:rPr>
                <w:sz w:val="21"/>
              </w:rPr>
              <w:t>10</w:t>
            </w:r>
          </w:p>
        </w:tc>
        <w:tc>
          <w:tcPr>
            <w:tcW w:w="397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spacing w:line="240" w:lineRule="auto"/>
              <w:rPr>
                <w:sz w:val="21"/>
              </w:rPr>
            </w:pPr>
            <w:r>
              <w:rPr>
                <w:rFonts w:hint="eastAsia"/>
                <w:sz w:val="21"/>
              </w:rPr>
              <w:t>外来物种入侵防控</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spacing w:line="240" w:lineRule="auto"/>
              <w:jc w:val="center"/>
              <w:rPr>
                <w:sz w:val="21"/>
              </w:rPr>
            </w:pPr>
            <w:r>
              <w:rPr>
                <w:rFonts w:hint="eastAsia"/>
                <w:sz w:val="21"/>
              </w:rPr>
              <w:t>-</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spacing w:line="240" w:lineRule="auto"/>
              <w:jc w:val="center"/>
              <w:rPr>
                <w:sz w:val="21"/>
              </w:rPr>
            </w:pPr>
            <w:r>
              <w:rPr>
                <w:rFonts w:hint="eastAsia"/>
                <w:sz w:val="21"/>
              </w:rPr>
              <w:t>有效开展</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spacing w:line="240" w:lineRule="auto"/>
              <w:jc w:val="center"/>
              <w:rPr>
                <w:sz w:val="21"/>
              </w:rPr>
            </w:pPr>
            <w:r>
              <w:rPr>
                <w:rFonts w:hint="eastAsia"/>
                <w:sz w:val="21"/>
              </w:rPr>
              <w:t>有效开展</w:t>
            </w:r>
          </w:p>
        </w:tc>
        <w:tc>
          <w:tcPr>
            <w:tcW w:w="1134" w:type="dxa"/>
            <w:tcBorders>
              <w:top w:val="single" w:sz="4" w:space="0" w:color="auto"/>
              <w:left w:val="single" w:sz="4" w:space="0" w:color="auto"/>
              <w:bottom w:val="single" w:sz="4" w:space="0" w:color="auto"/>
              <w:right w:val="single" w:sz="4" w:space="0" w:color="auto"/>
            </w:tcBorders>
            <w:noWrap/>
            <w:vAlign w:val="center"/>
          </w:tcPr>
          <w:p>
            <w:pPr>
              <w:widowControl/>
              <w:spacing w:line="240" w:lineRule="auto"/>
              <w:jc w:val="center"/>
              <w:rPr>
                <w:sz w:val="21"/>
              </w:rPr>
            </w:pPr>
            <w:r>
              <w:rPr>
                <w:rFonts w:hint="eastAsia"/>
                <w:sz w:val="21"/>
              </w:rPr>
              <w:t>有效开展</w:t>
            </w:r>
          </w:p>
        </w:tc>
        <w:tc>
          <w:tcPr>
            <w:tcW w:w="1275" w:type="dxa"/>
            <w:tcBorders>
              <w:top w:val="single" w:sz="4" w:space="0" w:color="auto"/>
              <w:left w:val="single" w:sz="4" w:space="0" w:color="auto"/>
              <w:bottom w:val="single" w:sz="4" w:space="0" w:color="auto"/>
              <w:right w:val="single" w:sz="4" w:space="0" w:color="auto"/>
            </w:tcBorders>
            <w:noWrap/>
            <w:vAlign w:val="center"/>
          </w:tcPr>
          <w:p>
            <w:pPr>
              <w:widowControl/>
              <w:spacing w:line="240" w:lineRule="auto"/>
              <w:jc w:val="center"/>
              <w:rPr>
                <w:sz w:val="21"/>
              </w:rPr>
            </w:pPr>
            <w:r>
              <w:rPr>
                <w:rFonts w:hint="eastAsia"/>
                <w:sz w:val="21"/>
              </w:rPr>
              <w:t>有效开展</w:t>
            </w:r>
          </w:p>
        </w:tc>
        <w:tc>
          <w:tcPr>
            <w:tcW w:w="1134" w:type="dxa"/>
            <w:tcBorders>
              <w:top w:val="single" w:sz="4" w:space="0" w:color="auto"/>
              <w:left w:val="single" w:sz="4" w:space="0" w:color="auto"/>
              <w:bottom w:val="single" w:sz="4" w:space="0" w:color="auto"/>
              <w:right w:val="single" w:sz="4" w:space="0" w:color="auto"/>
            </w:tcBorders>
            <w:noWrap/>
            <w:vAlign w:val="center"/>
          </w:tcPr>
          <w:p>
            <w:pPr>
              <w:widowControl/>
              <w:spacing w:line="240" w:lineRule="auto"/>
              <w:jc w:val="center"/>
              <w:rPr>
                <w:sz w:val="21"/>
              </w:rPr>
            </w:pPr>
            <w:r>
              <w:rPr>
                <w:rFonts w:hint="eastAsia"/>
                <w:sz w:val="21"/>
              </w:rPr>
              <w:t>农业农村局</w:t>
            </w:r>
          </w:p>
          <w:p>
            <w:pPr>
              <w:widowControl/>
              <w:spacing w:line="240" w:lineRule="auto"/>
              <w:jc w:val="center"/>
              <w:rPr>
                <w:sz w:val="21"/>
              </w:rPr>
            </w:pPr>
            <w:r>
              <w:rPr>
                <w:rFonts w:hint="eastAsia"/>
                <w:sz w:val="21"/>
              </w:rPr>
              <w:t>生态环境局</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spacing w:line="240" w:lineRule="auto"/>
              <w:jc w:val="center"/>
              <w:rPr>
                <w:sz w:val="21"/>
              </w:rPr>
            </w:pPr>
            <w:r>
              <w:rPr>
                <w:rFonts w:hint="eastAsia"/>
                <w:sz w:val="21"/>
              </w:rPr>
              <w:t>达标</w:t>
            </w:r>
          </w:p>
        </w:tc>
      </w:tr>
      <w:tr>
        <w:trPr>
          <w:trHeight w:val="340"/>
        </w:trPr>
        <w:tc>
          <w:tcPr>
            <w:tcW w:w="594" w:type="dxa"/>
            <w:vMerge/>
            <w:tcBorders>
              <w:top w:val="single" w:sz="4" w:space="0" w:color="auto"/>
              <w:left w:val="single" w:sz="4" w:space="0" w:color="auto"/>
              <w:bottom w:val="single" w:sz="4" w:space="0" w:color="auto"/>
              <w:right w:val="single" w:sz="4" w:space="0" w:color="auto"/>
            </w:tcBorders>
            <w:noWrap/>
            <w:vAlign w:val="center"/>
          </w:tcPr>
          <w:p/>
        </w:tc>
        <w:tc>
          <w:tcPr>
            <w:tcW w:w="992" w:type="dxa"/>
            <w:vMerge/>
            <w:tcBorders>
              <w:top w:val="single" w:sz="4" w:space="0" w:color="auto"/>
              <w:left w:val="single" w:sz="4" w:space="0" w:color="auto"/>
              <w:bottom w:val="single" w:sz="4" w:space="0" w:color="auto"/>
              <w:right w:val="single" w:sz="4" w:space="0" w:color="auto"/>
            </w:tcBorders>
            <w:noWrap/>
            <w:vAlign w:val="center"/>
          </w:tcPr>
          <w:p/>
        </w:tc>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spacing w:line="240" w:lineRule="auto"/>
              <w:jc w:val="center"/>
              <w:rPr>
                <w:sz w:val="21"/>
              </w:rPr>
            </w:pPr>
            <w:r>
              <w:rPr>
                <w:sz w:val="21"/>
              </w:rPr>
              <w:t>11</w:t>
            </w:r>
          </w:p>
        </w:tc>
        <w:tc>
          <w:tcPr>
            <w:tcW w:w="397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spacing w:line="240" w:lineRule="auto"/>
              <w:rPr>
                <w:sz w:val="21"/>
              </w:rPr>
            </w:pPr>
            <w:r>
              <w:rPr>
                <w:rFonts w:hint="eastAsia"/>
                <w:sz w:val="21"/>
              </w:rPr>
              <w:t>突发环境事件应急管理机制</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spacing w:line="240" w:lineRule="auto"/>
              <w:jc w:val="center"/>
              <w:rPr>
                <w:sz w:val="21"/>
              </w:rPr>
            </w:pPr>
            <w:r>
              <w:rPr>
                <w:rFonts w:hint="eastAsia"/>
                <w:sz w:val="21"/>
              </w:rPr>
              <w:t>-</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spacing w:line="240" w:lineRule="auto"/>
              <w:jc w:val="center"/>
              <w:rPr>
                <w:sz w:val="21"/>
              </w:rPr>
            </w:pPr>
            <w:r>
              <w:rPr>
                <w:rFonts w:hint="eastAsia"/>
                <w:sz w:val="21"/>
              </w:rPr>
              <w:t>建立</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spacing w:line="240" w:lineRule="auto"/>
              <w:jc w:val="center"/>
              <w:rPr>
                <w:sz w:val="21"/>
              </w:rPr>
            </w:pPr>
            <w:r>
              <w:rPr>
                <w:rFonts w:hint="eastAsia"/>
                <w:sz w:val="21"/>
              </w:rPr>
              <w:t>建立</w:t>
            </w:r>
          </w:p>
        </w:tc>
        <w:tc>
          <w:tcPr>
            <w:tcW w:w="1134" w:type="dxa"/>
            <w:tcBorders>
              <w:top w:val="single" w:sz="4" w:space="0" w:color="auto"/>
              <w:left w:val="single" w:sz="4" w:space="0" w:color="auto"/>
              <w:bottom w:val="single" w:sz="4" w:space="0" w:color="auto"/>
              <w:right w:val="single" w:sz="4" w:space="0" w:color="auto"/>
            </w:tcBorders>
            <w:noWrap/>
            <w:vAlign w:val="center"/>
          </w:tcPr>
          <w:p>
            <w:pPr>
              <w:widowControl/>
              <w:spacing w:line="240" w:lineRule="auto"/>
              <w:jc w:val="center"/>
              <w:rPr>
                <w:sz w:val="21"/>
              </w:rPr>
            </w:pPr>
            <w:r>
              <w:rPr>
                <w:rFonts w:hint="eastAsia"/>
                <w:sz w:val="21"/>
              </w:rPr>
              <w:t>建立</w:t>
            </w:r>
          </w:p>
        </w:tc>
        <w:tc>
          <w:tcPr>
            <w:tcW w:w="1275" w:type="dxa"/>
            <w:tcBorders>
              <w:top w:val="single" w:sz="4" w:space="0" w:color="auto"/>
              <w:left w:val="single" w:sz="4" w:space="0" w:color="auto"/>
              <w:bottom w:val="single" w:sz="4" w:space="0" w:color="auto"/>
              <w:right w:val="single" w:sz="4" w:space="0" w:color="auto"/>
            </w:tcBorders>
            <w:noWrap/>
            <w:vAlign w:val="center"/>
          </w:tcPr>
          <w:p>
            <w:pPr>
              <w:widowControl/>
              <w:spacing w:line="240" w:lineRule="auto"/>
              <w:jc w:val="center"/>
              <w:rPr>
                <w:sz w:val="21"/>
              </w:rPr>
            </w:pPr>
            <w:r>
              <w:rPr>
                <w:rFonts w:hint="eastAsia"/>
                <w:sz w:val="21"/>
              </w:rPr>
              <w:t>建立</w:t>
            </w:r>
          </w:p>
        </w:tc>
        <w:tc>
          <w:tcPr>
            <w:tcW w:w="1134" w:type="dxa"/>
            <w:tcBorders>
              <w:top w:val="single" w:sz="4" w:space="0" w:color="auto"/>
              <w:left w:val="single" w:sz="4" w:space="0" w:color="auto"/>
              <w:bottom w:val="single" w:sz="4" w:space="0" w:color="auto"/>
              <w:right w:val="single" w:sz="4" w:space="0" w:color="auto"/>
            </w:tcBorders>
            <w:noWrap/>
            <w:vAlign w:val="center"/>
          </w:tcPr>
          <w:p>
            <w:pPr>
              <w:widowControl/>
              <w:spacing w:line="240" w:lineRule="auto"/>
              <w:jc w:val="center"/>
              <w:rPr>
                <w:sz w:val="21"/>
              </w:rPr>
            </w:pPr>
            <w:r>
              <w:rPr>
                <w:rFonts w:hint="eastAsia"/>
                <w:sz w:val="21"/>
              </w:rPr>
              <w:t>生态环境局</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spacing w:line="240" w:lineRule="auto"/>
              <w:jc w:val="center"/>
              <w:rPr>
                <w:sz w:val="21"/>
              </w:rPr>
            </w:pPr>
            <w:r>
              <w:rPr>
                <w:rFonts w:hint="eastAsia"/>
                <w:sz w:val="21"/>
              </w:rPr>
              <w:t>达标</w:t>
            </w:r>
          </w:p>
        </w:tc>
      </w:tr>
      <w:tr>
        <w:trPr>
          <w:trHeight w:val="340"/>
        </w:trPr>
        <w:tc>
          <w:tcPr>
            <w:tcW w:w="594" w:type="dxa"/>
            <w:vMerge w:val="restart"/>
            <w:tcBorders>
              <w:top w:val="single" w:sz="4" w:space="0" w:color="auto"/>
              <w:left w:val="single" w:sz="4" w:space="0" w:color="auto"/>
              <w:bottom w:val="single" w:sz="4" w:space="0" w:color="auto"/>
              <w:right w:val="single" w:sz="4" w:space="0" w:color="auto"/>
            </w:tcBorders>
            <w:noWrap/>
            <w:vAlign w:val="center"/>
          </w:tcPr>
          <w:p>
            <w:pPr>
              <w:widowControl/>
              <w:spacing w:line="240" w:lineRule="auto"/>
              <w:jc w:val="left"/>
              <w:rPr>
                <w:b/>
                <w:bCs/>
                <w:sz w:val="21"/>
              </w:rPr>
            </w:pPr>
            <w:r>
              <w:rPr>
                <w:b/>
                <w:bCs/>
                <w:sz w:val="21"/>
              </w:rPr>
              <w:t>生态</w:t>
            </w:r>
            <w:r>
              <w:rPr>
                <w:rFonts w:hint="eastAsia"/>
                <w:b/>
                <w:bCs/>
                <w:sz w:val="21"/>
              </w:rPr>
              <w:t>经济</w:t>
            </w:r>
          </w:p>
        </w:tc>
        <w:tc>
          <w:tcPr>
            <w:tcW w:w="992" w:type="dxa"/>
            <w:tcBorders>
              <w:top w:val="single" w:sz="4" w:space="0" w:color="auto"/>
              <w:left w:val="single" w:sz="4" w:space="0" w:color="auto"/>
              <w:bottom w:val="single" w:sz="4" w:space="0" w:color="auto"/>
              <w:right w:val="single" w:sz="4" w:space="0" w:color="auto"/>
            </w:tcBorders>
            <w:noWrap/>
            <w:vAlign w:val="center"/>
          </w:tcPr>
          <w:p>
            <w:pPr>
              <w:widowControl/>
              <w:spacing w:line="240" w:lineRule="auto"/>
              <w:jc w:val="center"/>
              <w:rPr>
                <w:sz w:val="21"/>
              </w:rPr>
            </w:pPr>
            <w:r>
              <w:rPr>
                <w:sz w:val="21"/>
              </w:rPr>
              <w:t>（五）</w:t>
            </w:r>
            <w:r>
              <w:rPr>
                <w:rFonts w:hint="eastAsia"/>
                <w:sz w:val="21"/>
              </w:rPr>
              <w:t>节能减排降碳增效</w:t>
            </w:r>
          </w:p>
        </w:tc>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spacing w:line="240" w:lineRule="auto"/>
              <w:jc w:val="center"/>
              <w:rPr>
                <w:sz w:val="21"/>
              </w:rPr>
            </w:pPr>
            <w:r>
              <w:rPr>
                <w:rFonts w:hint="eastAsia"/>
                <w:sz w:val="21"/>
              </w:rPr>
              <w:t>1</w:t>
            </w:r>
            <w:r>
              <w:rPr>
                <w:sz w:val="21"/>
              </w:rPr>
              <w:t>2</w:t>
            </w:r>
          </w:p>
        </w:tc>
        <w:tc>
          <w:tcPr>
            <w:tcW w:w="397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spacing w:line="240" w:lineRule="auto"/>
              <w:rPr>
                <w:sz w:val="21"/>
              </w:rPr>
            </w:pPr>
            <w:r>
              <w:rPr>
                <w:rFonts w:hint="eastAsia"/>
                <w:sz w:val="21"/>
              </w:rPr>
              <w:t>新增和更新公共汽电车中新能源和清洁能源车辆比例</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spacing w:line="240" w:lineRule="auto"/>
              <w:jc w:val="center"/>
              <w:rPr>
                <w:sz w:val="21"/>
              </w:rPr>
            </w:pPr>
            <w:r>
              <w:rPr>
                <w:rFonts w:hint="eastAsia"/>
                <w:sz w:val="21"/>
              </w:rPr>
              <w:t>%</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spacing w:line="240" w:lineRule="auto"/>
              <w:jc w:val="center"/>
              <w:rPr>
                <w:sz w:val="21"/>
              </w:rPr>
            </w:pPr>
            <w:r>
              <w:rPr>
                <w:sz w:val="21"/>
              </w:rPr>
              <w:t>≥80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spacing w:line="240" w:lineRule="auto"/>
              <w:jc w:val="center"/>
              <w:rPr>
                <w:sz w:val="21"/>
              </w:rPr>
            </w:pPr>
            <w:r>
              <w:rPr>
                <w:sz w:val="21"/>
              </w:rPr>
              <w:t>100</w:t>
            </w:r>
          </w:p>
        </w:tc>
        <w:tc>
          <w:tcPr>
            <w:tcW w:w="1134" w:type="dxa"/>
            <w:tcBorders>
              <w:top w:val="single" w:sz="4" w:space="0" w:color="auto"/>
              <w:left w:val="single" w:sz="4" w:space="0" w:color="auto"/>
              <w:bottom w:val="single" w:sz="4" w:space="0" w:color="auto"/>
              <w:right w:val="single" w:sz="4" w:space="0" w:color="auto"/>
            </w:tcBorders>
            <w:noWrap/>
            <w:vAlign w:val="center"/>
          </w:tcPr>
          <w:p>
            <w:pPr>
              <w:widowControl/>
              <w:spacing w:line="240" w:lineRule="auto"/>
              <w:jc w:val="center"/>
              <w:rPr>
                <w:sz w:val="21"/>
              </w:rPr>
            </w:pPr>
            <w:r>
              <w:rPr>
                <w:rFonts w:hint="eastAsia"/>
                <w:sz w:val="21"/>
              </w:rPr>
              <w:t>1</w:t>
            </w:r>
            <w:r>
              <w:rPr>
                <w:sz w:val="21"/>
              </w:rPr>
              <w:t>00</w:t>
            </w:r>
          </w:p>
        </w:tc>
        <w:tc>
          <w:tcPr>
            <w:tcW w:w="1275" w:type="dxa"/>
            <w:tcBorders>
              <w:top w:val="single" w:sz="4" w:space="0" w:color="auto"/>
              <w:left w:val="single" w:sz="4" w:space="0" w:color="auto"/>
              <w:bottom w:val="single" w:sz="4" w:space="0" w:color="auto"/>
              <w:right w:val="single" w:sz="4" w:space="0" w:color="auto"/>
            </w:tcBorders>
            <w:noWrap/>
            <w:vAlign w:val="center"/>
          </w:tcPr>
          <w:p>
            <w:pPr>
              <w:widowControl/>
              <w:spacing w:line="240" w:lineRule="auto"/>
              <w:jc w:val="center"/>
              <w:rPr>
                <w:sz w:val="21"/>
              </w:rPr>
            </w:pPr>
            <w:r>
              <w:rPr>
                <w:rFonts w:hint="eastAsia"/>
                <w:sz w:val="21"/>
              </w:rPr>
              <w:t>1</w:t>
            </w:r>
            <w:r>
              <w:rPr>
                <w:sz w:val="21"/>
              </w:rPr>
              <w:t>00</w:t>
            </w:r>
          </w:p>
        </w:tc>
        <w:tc>
          <w:tcPr>
            <w:tcW w:w="1134" w:type="dxa"/>
            <w:tcBorders>
              <w:top w:val="single" w:sz="4" w:space="0" w:color="auto"/>
              <w:left w:val="single" w:sz="4" w:space="0" w:color="auto"/>
              <w:bottom w:val="single" w:sz="4" w:space="0" w:color="auto"/>
              <w:right w:val="single" w:sz="4" w:space="0" w:color="auto"/>
            </w:tcBorders>
            <w:noWrap/>
            <w:vAlign w:val="center"/>
          </w:tcPr>
          <w:p>
            <w:pPr>
              <w:widowControl/>
              <w:spacing w:line="240" w:lineRule="auto"/>
              <w:jc w:val="center"/>
              <w:rPr>
                <w:sz w:val="21"/>
              </w:rPr>
            </w:pPr>
            <w:r>
              <w:rPr>
                <w:rFonts w:hint="eastAsia"/>
                <w:sz w:val="21"/>
              </w:rPr>
              <w:t>交通运输局</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spacing w:line="240" w:lineRule="auto"/>
              <w:jc w:val="center"/>
              <w:rPr>
                <w:sz w:val="21"/>
              </w:rPr>
            </w:pPr>
            <w:r>
              <w:rPr>
                <w:rFonts w:hint="eastAsia"/>
                <w:sz w:val="21"/>
              </w:rPr>
              <w:t>达标</w:t>
            </w:r>
          </w:p>
        </w:tc>
      </w:tr>
      <w:tr>
        <w:trPr>
          <w:trHeight w:val="340"/>
        </w:trPr>
        <w:tc>
          <w:tcPr>
            <w:tcW w:w="594" w:type="dxa"/>
            <w:vMerge/>
            <w:tcBorders>
              <w:top w:val="single" w:sz="4" w:space="0" w:color="auto"/>
              <w:left w:val="single" w:sz="4" w:space="0" w:color="auto"/>
              <w:bottom w:val="single" w:sz="4" w:space="0" w:color="auto"/>
              <w:right w:val="single" w:sz="4" w:space="0" w:color="auto"/>
            </w:tcBorders>
            <w:noWrap/>
            <w:vAlign w:val="center"/>
          </w:tcPr>
          <w:p/>
        </w:tc>
        <w:tc>
          <w:tcPr>
            <w:tcW w:w="992" w:type="dxa"/>
            <w:vMerge w:val="restart"/>
            <w:tcBorders>
              <w:top w:val="single" w:sz="4" w:space="0" w:color="auto"/>
              <w:left w:val="single" w:sz="4" w:space="0" w:color="auto"/>
              <w:bottom w:val="single" w:sz="4" w:space="0" w:color="auto"/>
              <w:right w:val="single" w:sz="4" w:space="0" w:color="auto"/>
            </w:tcBorders>
            <w:noWrap/>
            <w:vAlign w:val="center"/>
          </w:tcPr>
          <w:p>
            <w:pPr>
              <w:widowControl/>
              <w:spacing w:line="240" w:lineRule="auto"/>
              <w:jc w:val="center"/>
              <w:rPr>
                <w:sz w:val="21"/>
              </w:rPr>
            </w:pPr>
            <w:r>
              <w:rPr>
                <w:rFonts w:hint="eastAsia"/>
                <w:sz w:val="21"/>
              </w:rPr>
              <w:t>（六）资源节约集约</w:t>
            </w:r>
          </w:p>
        </w:tc>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spacing w:line="240" w:lineRule="auto"/>
              <w:jc w:val="center"/>
              <w:rPr>
                <w:sz w:val="21"/>
              </w:rPr>
            </w:pPr>
            <w:r>
              <w:rPr>
                <w:rFonts w:hint="eastAsia"/>
                <w:sz w:val="21"/>
              </w:rPr>
              <w:t>1</w:t>
            </w:r>
            <w:r>
              <w:rPr>
                <w:sz w:val="21"/>
              </w:rPr>
              <w:t>3</w:t>
            </w:r>
          </w:p>
        </w:tc>
        <w:tc>
          <w:tcPr>
            <w:tcW w:w="397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spacing w:line="240" w:lineRule="auto"/>
              <w:rPr>
                <w:sz w:val="21"/>
              </w:rPr>
            </w:pPr>
            <w:r>
              <w:rPr>
                <w:rFonts w:hint="eastAsia"/>
                <w:sz w:val="21"/>
              </w:rPr>
              <w:t>万元工业增加值用水量下降率</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spacing w:line="240" w:lineRule="auto"/>
              <w:jc w:val="center"/>
              <w:rPr>
                <w:sz w:val="21"/>
              </w:rPr>
            </w:pPr>
            <w:r>
              <w:rPr>
                <w:rFonts w:hint="eastAsia"/>
                <w:sz w:val="21"/>
              </w:rPr>
              <w:t>%</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spacing w:line="240" w:lineRule="auto"/>
              <w:jc w:val="center"/>
              <w:rPr>
                <w:sz w:val="21"/>
              </w:rPr>
            </w:pPr>
            <w:r>
              <w:rPr>
                <w:rFonts w:hint="eastAsia"/>
                <w:sz w:val="21"/>
              </w:rPr>
              <w:t>完成上级规定的考核任务</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spacing w:line="240" w:lineRule="auto"/>
              <w:jc w:val="center"/>
              <w:rPr>
                <w:sz w:val="21"/>
              </w:rPr>
            </w:pPr>
            <w:r>
              <w:rPr>
                <w:rFonts w:hint="eastAsia"/>
                <w:sz w:val="21"/>
              </w:rPr>
              <w:t>下降5</w:t>
            </w:r>
            <w:r>
              <w:rPr>
                <w:sz w:val="21"/>
              </w:rPr>
              <w:t>.29%</w:t>
            </w:r>
            <w:r>
              <w:rPr>
                <w:rFonts w:hint="eastAsia"/>
                <w:sz w:val="21"/>
              </w:rPr>
              <w:t>，已完成上级规定的考核任务</w:t>
            </w:r>
          </w:p>
        </w:tc>
        <w:tc>
          <w:tcPr>
            <w:tcW w:w="1134" w:type="dxa"/>
            <w:tcBorders>
              <w:top w:val="single" w:sz="4" w:space="0" w:color="auto"/>
              <w:left w:val="single" w:sz="4" w:space="0" w:color="auto"/>
              <w:bottom w:val="single" w:sz="4" w:space="0" w:color="auto"/>
              <w:right w:val="single" w:sz="4" w:space="0" w:color="auto"/>
            </w:tcBorders>
            <w:noWrap/>
            <w:vAlign w:val="center"/>
          </w:tcPr>
          <w:p>
            <w:pPr>
              <w:widowControl/>
              <w:spacing w:line="240" w:lineRule="auto"/>
              <w:jc w:val="center"/>
              <w:rPr>
                <w:sz w:val="21"/>
              </w:rPr>
            </w:pPr>
            <w:r>
              <w:rPr>
                <w:rFonts w:hint="eastAsia"/>
                <w:sz w:val="21"/>
              </w:rPr>
              <w:t>完成上级规定的考核任务</w:t>
            </w:r>
          </w:p>
        </w:tc>
        <w:tc>
          <w:tcPr>
            <w:tcW w:w="1275" w:type="dxa"/>
            <w:tcBorders>
              <w:top w:val="single" w:sz="4" w:space="0" w:color="auto"/>
              <w:left w:val="single" w:sz="4" w:space="0" w:color="auto"/>
              <w:bottom w:val="single" w:sz="4" w:space="0" w:color="auto"/>
              <w:right w:val="single" w:sz="4" w:space="0" w:color="auto"/>
            </w:tcBorders>
            <w:noWrap/>
            <w:vAlign w:val="center"/>
          </w:tcPr>
          <w:p>
            <w:pPr>
              <w:widowControl/>
              <w:spacing w:line="240" w:lineRule="auto"/>
              <w:jc w:val="center"/>
              <w:rPr>
                <w:sz w:val="21"/>
              </w:rPr>
            </w:pPr>
            <w:r>
              <w:rPr>
                <w:rFonts w:hint="eastAsia"/>
                <w:sz w:val="21"/>
              </w:rPr>
              <w:t>完成上级规定的考核任务</w:t>
            </w:r>
          </w:p>
        </w:tc>
        <w:tc>
          <w:tcPr>
            <w:tcW w:w="1134" w:type="dxa"/>
            <w:tcBorders>
              <w:top w:val="single" w:sz="4" w:space="0" w:color="auto"/>
              <w:left w:val="single" w:sz="4" w:space="0" w:color="auto"/>
              <w:bottom w:val="single" w:sz="4" w:space="0" w:color="auto"/>
              <w:right w:val="single" w:sz="4" w:space="0" w:color="auto"/>
            </w:tcBorders>
            <w:noWrap/>
            <w:vAlign w:val="center"/>
          </w:tcPr>
          <w:p>
            <w:pPr>
              <w:widowControl/>
              <w:spacing w:line="240" w:lineRule="auto"/>
              <w:jc w:val="center"/>
              <w:rPr>
                <w:sz w:val="21"/>
              </w:rPr>
            </w:pPr>
            <w:r>
              <w:rPr>
                <w:rFonts w:hint="eastAsia"/>
                <w:sz w:val="21"/>
              </w:rPr>
              <w:t>水务局</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spacing w:line="240" w:lineRule="auto"/>
              <w:jc w:val="center"/>
              <w:rPr>
                <w:sz w:val="21"/>
              </w:rPr>
            </w:pPr>
            <w:r>
              <w:rPr>
                <w:rFonts w:hint="eastAsia"/>
                <w:sz w:val="21"/>
              </w:rPr>
              <w:t>达标</w:t>
            </w:r>
          </w:p>
        </w:tc>
      </w:tr>
      <w:tr>
        <w:trPr>
          <w:trHeight w:val="340"/>
        </w:trPr>
        <w:tc>
          <w:tcPr>
            <w:tcW w:w="594" w:type="dxa"/>
            <w:vMerge/>
            <w:tcBorders>
              <w:top w:val="single" w:sz="4" w:space="0" w:color="auto"/>
              <w:left w:val="single" w:sz="4" w:space="0" w:color="auto"/>
              <w:bottom w:val="single" w:sz="4" w:space="0" w:color="auto"/>
              <w:right w:val="single" w:sz="4" w:space="0" w:color="auto"/>
            </w:tcBorders>
            <w:noWrap/>
            <w:vAlign w:val="center"/>
          </w:tcPr>
          <w:p/>
        </w:tc>
        <w:tc>
          <w:tcPr>
            <w:tcW w:w="992" w:type="dxa"/>
            <w:vMerge/>
            <w:tcBorders>
              <w:top w:val="single" w:sz="4" w:space="0" w:color="auto"/>
              <w:left w:val="single" w:sz="4" w:space="0" w:color="auto"/>
              <w:bottom w:val="single" w:sz="4" w:space="0" w:color="auto"/>
              <w:right w:val="single" w:sz="4" w:space="0" w:color="auto"/>
            </w:tcBorders>
            <w:noWrap/>
            <w:vAlign w:val="center"/>
          </w:tcPr>
          <w:p/>
        </w:tc>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spacing w:line="240" w:lineRule="auto"/>
              <w:jc w:val="center"/>
              <w:rPr>
                <w:sz w:val="21"/>
              </w:rPr>
            </w:pPr>
            <w:r>
              <w:rPr>
                <w:rFonts w:hint="eastAsia"/>
                <w:sz w:val="21"/>
              </w:rPr>
              <w:t>1</w:t>
            </w:r>
            <w:r>
              <w:rPr>
                <w:sz w:val="21"/>
              </w:rPr>
              <w:t>4</w:t>
            </w:r>
          </w:p>
        </w:tc>
        <w:tc>
          <w:tcPr>
            <w:tcW w:w="397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spacing w:line="240" w:lineRule="auto"/>
              <w:rPr>
                <w:sz w:val="21"/>
              </w:rPr>
            </w:pPr>
            <w:r>
              <w:rPr>
                <w:rFonts w:hint="eastAsia"/>
                <w:sz w:val="21"/>
              </w:rPr>
              <w:t>农膜回收率</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spacing w:line="240" w:lineRule="auto"/>
              <w:jc w:val="center"/>
              <w:rPr>
                <w:sz w:val="21"/>
              </w:rPr>
            </w:pPr>
            <w:r>
              <w:rPr>
                <w:rFonts w:hint="eastAsia"/>
                <w:sz w:val="21"/>
              </w:rPr>
              <w:t>%</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spacing w:line="240" w:lineRule="auto"/>
              <w:jc w:val="center"/>
              <w:rPr>
                <w:sz w:val="21"/>
              </w:rPr>
            </w:pPr>
            <w:r>
              <w:rPr>
                <w:sz w:val="21"/>
              </w:rPr>
              <w:t>≥85</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spacing w:line="240" w:lineRule="auto"/>
              <w:jc w:val="center"/>
              <w:rPr>
                <w:sz w:val="21"/>
              </w:rPr>
            </w:pPr>
            <w:r>
              <w:rPr>
                <w:sz w:val="21"/>
              </w:rPr>
              <w:t>98.33</w:t>
            </w:r>
          </w:p>
        </w:tc>
        <w:tc>
          <w:tcPr>
            <w:tcW w:w="1134" w:type="dxa"/>
            <w:tcBorders>
              <w:top w:val="single" w:sz="4" w:space="0" w:color="auto"/>
              <w:left w:val="single" w:sz="4" w:space="0" w:color="auto"/>
              <w:bottom w:val="single" w:sz="4" w:space="0" w:color="auto"/>
              <w:right w:val="single" w:sz="4" w:space="0" w:color="auto"/>
            </w:tcBorders>
            <w:noWrap/>
          </w:tcPr>
          <w:p>
            <w:pPr>
              <w:widowControl/>
              <w:spacing w:line="240" w:lineRule="auto"/>
              <w:jc w:val="center"/>
              <w:rPr>
                <w:sz w:val="21"/>
              </w:rPr>
            </w:pPr>
            <w:r>
              <w:rPr>
                <w:sz w:val="21"/>
              </w:rPr>
              <w:t>98.5</w:t>
            </w:r>
          </w:p>
        </w:tc>
        <w:tc>
          <w:tcPr>
            <w:tcW w:w="1275" w:type="dxa"/>
            <w:tcBorders>
              <w:top w:val="single" w:sz="4" w:space="0" w:color="auto"/>
              <w:left w:val="single" w:sz="4" w:space="0" w:color="auto"/>
              <w:bottom w:val="single" w:sz="4" w:space="0" w:color="auto"/>
              <w:right w:val="single" w:sz="4" w:space="0" w:color="auto"/>
            </w:tcBorders>
            <w:noWrap/>
          </w:tcPr>
          <w:p>
            <w:pPr>
              <w:widowControl/>
              <w:spacing w:line="240" w:lineRule="auto"/>
              <w:jc w:val="center"/>
              <w:rPr>
                <w:sz w:val="21"/>
              </w:rPr>
            </w:pPr>
            <w:r>
              <w:rPr>
                <w:sz w:val="21"/>
              </w:rPr>
              <w:t>99</w:t>
            </w:r>
          </w:p>
        </w:tc>
        <w:tc>
          <w:tcPr>
            <w:tcW w:w="1134" w:type="dxa"/>
            <w:tcBorders>
              <w:top w:val="single" w:sz="4" w:space="0" w:color="auto"/>
              <w:left w:val="single" w:sz="4" w:space="0" w:color="auto"/>
              <w:bottom w:val="single" w:sz="4" w:space="0" w:color="auto"/>
              <w:right w:val="single" w:sz="4" w:space="0" w:color="auto"/>
            </w:tcBorders>
            <w:noWrap/>
            <w:vAlign w:val="center"/>
          </w:tcPr>
          <w:p>
            <w:pPr>
              <w:widowControl/>
              <w:spacing w:line="240" w:lineRule="auto"/>
              <w:jc w:val="center"/>
              <w:rPr>
                <w:sz w:val="21"/>
              </w:rPr>
            </w:pPr>
            <w:r>
              <w:rPr>
                <w:rFonts w:hint="eastAsia"/>
                <w:sz w:val="21"/>
              </w:rPr>
              <w:t>农业农村局</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spacing w:line="240" w:lineRule="auto"/>
              <w:jc w:val="center"/>
              <w:rPr>
                <w:sz w:val="21"/>
              </w:rPr>
            </w:pPr>
            <w:r>
              <w:rPr>
                <w:rFonts w:hint="eastAsia"/>
                <w:sz w:val="21"/>
              </w:rPr>
              <w:t>达标</w:t>
            </w:r>
          </w:p>
        </w:tc>
      </w:tr>
      <w:tr>
        <w:trPr>
          <w:trHeight w:val="340"/>
        </w:trPr>
        <w:tc>
          <w:tcPr>
            <w:tcW w:w="594" w:type="dxa"/>
            <w:vMerge/>
            <w:tcBorders>
              <w:top w:val="single" w:sz="4" w:space="0" w:color="auto"/>
              <w:left w:val="single" w:sz="4" w:space="0" w:color="auto"/>
              <w:bottom w:val="single" w:sz="4" w:space="0" w:color="auto"/>
              <w:right w:val="single" w:sz="4" w:space="0" w:color="auto"/>
            </w:tcBorders>
            <w:noWrap/>
            <w:vAlign w:val="center"/>
          </w:tcPr>
          <w:p/>
        </w:tc>
        <w:tc>
          <w:tcPr>
            <w:tcW w:w="992" w:type="dxa"/>
            <w:vMerge/>
            <w:tcBorders>
              <w:top w:val="single" w:sz="4" w:space="0" w:color="auto"/>
              <w:left w:val="single" w:sz="4" w:space="0" w:color="auto"/>
              <w:bottom w:val="single" w:sz="4" w:space="0" w:color="auto"/>
              <w:right w:val="single" w:sz="4" w:space="0" w:color="auto"/>
            </w:tcBorders>
            <w:noWrap/>
            <w:vAlign w:val="center"/>
          </w:tcPr>
          <w:p/>
        </w:tc>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spacing w:line="240" w:lineRule="auto"/>
              <w:jc w:val="center"/>
              <w:rPr>
                <w:sz w:val="21"/>
              </w:rPr>
            </w:pPr>
            <w:r>
              <w:rPr>
                <w:rFonts w:hint="eastAsia"/>
                <w:sz w:val="21"/>
              </w:rPr>
              <w:t>1</w:t>
            </w:r>
            <w:r>
              <w:rPr>
                <w:sz w:val="21"/>
              </w:rPr>
              <w:t>5</w:t>
            </w:r>
          </w:p>
        </w:tc>
        <w:tc>
          <w:tcPr>
            <w:tcW w:w="397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spacing w:line="240" w:lineRule="auto"/>
              <w:rPr>
                <w:sz w:val="21"/>
              </w:rPr>
            </w:pPr>
            <w:r>
              <w:rPr>
                <w:rFonts w:hint="eastAsia"/>
                <w:sz w:val="21"/>
              </w:rPr>
              <w:t>一般工业固体废物综合利用率</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spacing w:line="240" w:lineRule="auto"/>
              <w:jc w:val="center"/>
              <w:rPr>
                <w:sz w:val="21"/>
              </w:rPr>
            </w:pPr>
            <w:r>
              <w:rPr>
                <w:rFonts w:hint="eastAsia"/>
                <w:sz w:val="21"/>
              </w:rPr>
              <w:t>-</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spacing w:line="240" w:lineRule="auto"/>
              <w:jc w:val="center"/>
              <w:rPr>
                <w:sz w:val="21"/>
              </w:rPr>
            </w:pPr>
            <w:r>
              <w:rPr>
                <w:rFonts w:hint="eastAsia"/>
                <w:sz w:val="21"/>
              </w:rPr>
              <w:t>保持稳定或持续改善</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spacing w:line="240" w:lineRule="auto"/>
              <w:jc w:val="center"/>
              <w:rPr>
                <w:sz w:val="21"/>
              </w:rPr>
            </w:pPr>
            <w:r>
              <w:rPr>
                <w:sz w:val="21"/>
              </w:rPr>
              <w:t>4.92，持续改善</w:t>
            </w:r>
          </w:p>
        </w:tc>
        <w:tc>
          <w:tcPr>
            <w:tcW w:w="1134" w:type="dxa"/>
            <w:tcBorders>
              <w:top w:val="single" w:sz="4" w:space="0" w:color="auto"/>
              <w:left w:val="single" w:sz="4" w:space="0" w:color="auto"/>
              <w:bottom w:val="single" w:sz="4" w:space="0" w:color="auto"/>
              <w:right w:val="single" w:sz="4" w:space="0" w:color="auto"/>
            </w:tcBorders>
            <w:noWrap/>
            <w:vAlign w:val="center"/>
          </w:tcPr>
          <w:p>
            <w:pPr>
              <w:widowControl/>
              <w:spacing w:line="240" w:lineRule="auto"/>
              <w:jc w:val="center"/>
              <w:rPr>
                <w:sz w:val="21"/>
              </w:rPr>
            </w:pPr>
            <w:r>
              <w:rPr>
                <w:sz w:val="21"/>
              </w:rPr>
              <w:t>5，保持稳定或持续改善</w:t>
            </w:r>
          </w:p>
        </w:tc>
        <w:tc>
          <w:tcPr>
            <w:tcW w:w="1275" w:type="dxa"/>
            <w:tcBorders>
              <w:top w:val="single" w:sz="4" w:space="0" w:color="auto"/>
              <w:left w:val="single" w:sz="4" w:space="0" w:color="auto"/>
              <w:bottom w:val="single" w:sz="4" w:space="0" w:color="auto"/>
              <w:right w:val="single" w:sz="4" w:space="0" w:color="auto"/>
            </w:tcBorders>
            <w:noWrap/>
            <w:vAlign w:val="center"/>
          </w:tcPr>
          <w:p>
            <w:pPr>
              <w:widowControl/>
              <w:spacing w:line="240" w:lineRule="auto"/>
              <w:jc w:val="center"/>
              <w:rPr>
                <w:sz w:val="21"/>
              </w:rPr>
            </w:pPr>
            <w:r>
              <w:rPr>
                <w:sz w:val="21"/>
              </w:rPr>
              <w:t>5，保持稳定或持续改善</w:t>
            </w:r>
          </w:p>
        </w:tc>
        <w:tc>
          <w:tcPr>
            <w:tcW w:w="1134" w:type="dxa"/>
            <w:tcBorders>
              <w:top w:val="single" w:sz="4" w:space="0" w:color="auto"/>
              <w:left w:val="single" w:sz="4" w:space="0" w:color="auto"/>
              <w:bottom w:val="single" w:sz="4" w:space="0" w:color="auto"/>
              <w:right w:val="single" w:sz="4" w:space="0" w:color="auto"/>
            </w:tcBorders>
            <w:noWrap/>
            <w:vAlign w:val="center"/>
          </w:tcPr>
          <w:p>
            <w:pPr>
              <w:widowControl/>
              <w:spacing w:line="240" w:lineRule="auto"/>
              <w:jc w:val="center"/>
              <w:rPr>
                <w:sz w:val="21"/>
              </w:rPr>
            </w:pPr>
            <w:r>
              <w:rPr>
                <w:rFonts w:hint="eastAsia"/>
                <w:sz w:val="21"/>
              </w:rPr>
              <w:t>生态环境局</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spacing w:line="240" w:lineRule="auto"/>
              <w:jc w:val="center"/>
              <w:rPr>
                <w:sz w:val="21"/>
              </w:rPr>
            </w:pPr>
            <w:r>
              <w:rPr>
                <w:rFonts w:hint="eastAsia"/>
                <w:sz w:val="21"/>
              </w:rPr>
              <w:t>达标</w:t>
            </w:r>
          </w:p>
        </w:tc>
      </w:tr>
      <w:tr>
        <w:trPr>
          <w:trHeight w:val="340"/>
        </w:trPr>
        <w:tc>
          <w:tcPr>
            <w:tcW w:w="594" w:type="dxa"/>
            <w:vMerge w:val="restart"/>
            <w:tcBorders>
              <w:top w:val="single" w:sz="4" w:space="0" w:color="auto"/>
              <w:left w:val="single" w:sz="4" w:space="0" w:color="auto"/>
              <w:bottom w:val="single" w:sz="4" w:space="0" w:color="auto"/>
              <w:right w:val="single" w:sz="4" w:space="0" w:color="auto"/>
            </w:tcBorders>
            <w:noWrap/>
            <w:vAlign w:val="center"/>
          </w:tcPr>
          <w:p>
            <w:pPr>
              <w:widowControl/>
              <w:spacing w:line="240" w:lineRule="auto"/>
              <w:jc w:val="left"/>
              <w:rPr>
                <w:b/>
                <w:bCs/>
                <w:sz w:val="21"/>
              </w:rPr>
            </w:pPr>
            <w:r>
              <w:rPr>
                <w:rFonts w:hint="eastAsia"/>
                <w:b/>
                <w:bCs/>
                <w:sz w:val="21"/>
              </w:rPr>
              <w:t>生态文化</w:t>
            </w:r>
          </w:p>
        </w:tc>
        <w:tc>
          <w:tcPr>
            <w:tcW w:w="992" w:type="dxa"/>
            <w:vMerge w:val="restart"/>
            <w:tcBorders>
              <w:top w:val="single" w:sz="4" w:space="0" w:color="auto"/>
              <w:left w:val="single" w:sz="4" w:space="0" w:color="auto"/>
              <w:bottom w:val="single" w:sz="4" w:space="0" w:color="auto"/>
              <w:right w:val="single" w:sz="4" w:space="0" w:color="auto"/>
            </w:tcBorders>
            <w:noWrap/>
            <w:vAlign w:val="center"/>
          </w:tcPr>
          <w:p>
            <w:pPr>
              <w:widowControl/>
              <w:spacing w:line="240" w:lineRule="auto"/>
              <w:jc w:val="center"/>
              <w:rPr>
                <w:sz w:val="21"/>
              </w:rPr>
            </w:pPr>
            <w:r>
              <w:rPr>
                <w:rFonts w:hint="eastAsia"/>
                <w:sz w:val="21"/>
              </w:rPr>
              <w:t>（七）全民共建共享</w:t>
            </w:r>
          </w:p>
        </w:tc>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spacing w:line="240" w:lineRule="auto"/>
              <w:jc w:val="center"/>
              <w:rPr>
                <w:sz w:val="21"/>
              </w:rPr>
            </w:pPr>
            <w:r>
              <w:rPr>
                <w:rFonts w:hint="eastAsia"/>
                <w:sz w:val="21"/>
              </w:rPr>
              <w:t>1</w:t>
            </w:r>
            <w:r>
              <w:rPr>
                <w:sz w:val="21"/>
              </w:rPr>
              <w:t>6</w:t>
            </w:r>
          </w:p>
        </w:tc>
        <w:tc>
          <w:tcPr>
            <w:tcW w:w="397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spacing w:line="240" w:lineRule="auto"/>
              <w:rPr>
                <w:sz w:val="21"/>
              </w:rPr>
            </w:pPr>
            <w:r>
              <w:rPr>
                <w:rFonts w:hint="eastAsia"/>
                <w:sz w:val="21"/>
              </w:rPr>
              <w:t>公众对生态环境质量满意程度</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spacing w:line="240" w:lineRule="auto"/>
              <w:jc w:val="center"/>
              <w:rPr>
                <w:sz w:val="21"/>
              </w:rPr>
            </w:pPr>
            <w:r>
              <w:rPr>
                <w:rFonts w:hint="eastAsia"/>
                <w:sz w:val="21"/>
              </w:rPr>
              <w:t>%</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spacing w:line="240" w:lineRule="auto"/>
              <w:jc w:val="center"/>
              <w:rPr>
                <w:sz w:val="21"/>
              </w:rPr>
            </w:pPr>
            <w:r>
              <w:rPr>
                <w:sz w:val="21"/>
              </w:rPr>
              <w:t>≥90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spacing w:line="240" w:lineRule="auto"/>
              <w:jc w:val="center"/>
              <w:rPr>
                <w:sz w:val="21"/>
              </w:rPr>
            </w:pPr>
            <w:r>
              <w:rPr>
                <w:sz w:val="21"/>
              </w:rPr>
              <w:t>91.1</w:t>
            </w:r>
          </w:p>
        </w:tc>
        <w:tc>
          <w:tcPr>
            <w:tcW w:w="1134" w:type="dxa"/>
            <w:tcBorders>
              <w:top w:val="single" w:sz="4" w:space="0" w:color="auto"/>
              <w:left w:val="single" w:sz="4" w:space="0" w:color="auto"/>
              <w:bottom w:val="single" w:sz="4" w:space="0" w:color="auto"/>
              <w:right w:val="single" w:sz="4" w:space="0" w:color="auto"/>
            </w:tcBorders>
            <w:noWrap/>
          </w:tcPr>
          <w:p>
            <w:pPr>
              <w:widowControl/>
              <w:spacing w:line="240" w:lineRule="auto"/>
              <w:jc w:val="center"/>
              <w:rPr>
                <w:sz w:val="21"/>
              </w:rPr>
            </w:pPr>
            <w:r>
              <w:rPr>
                <w:sz w:val="21"/>
              </w:rPr>
              <w:t>92</w:t>
            </w:r>
          </w:p>
        </w:tc>
        <w:tc>
          <w:tcPr>
            <w:tcW w:w="1275" w:type="dxa"/>
            <w:tcBorders>
              <w:top w:val="single" w:sz="4" w:space="0" w:color="auto"/>
              <w:left w:val="single" w:sz="4" w:space="0" w:color="auto"/>
              <w:bottom w:val="single" w:sz="4" w:space="0" w:color="auto"/>
              <w:right w:val="single" w:sz="4" w:space="0" w:color="auto"/>
            </w:tcBorders>
            <w:noWrap/>
          </w:tcPr>
          <w:p>
            <w:pPr>
              <w:widowControl/>
              <w:spacing w:line="240" w:lineRule="auto"/>
              <w:jc w:val="center"/>
              <w:rPr>
                <w:sz w:val="21"/>
              </w:rPr>
            </w:pPr>
            <w:r>
              <w:rPr>
                <w:sz w:val="21"/>
              </w:rPr>
              <w:t>93</w:t>
            </w:r>
          </w:p>
        </w:tc>
        <w:tc>
          <w:tcPr>
            <w:tcW w:w="1134" w:type="dxa"/>
            <w:tcBorders>
              <w:top w:val="single" w:sz="4" w:space="0" w:color="auto"/>
              <w:left w:val="single" w:sz="4" w:space="0" w:color="auto"/>
              <w:bottom w:val="single" w:sz="4" w:space="0" w:color="auto"/>
              <w:right w:val="single" w:sz="4" w:space="0" w:color="auto"/>
            </w:tcBorders>
            <w:noWrap/>
            <w:vAlign w:val="center"/>
          </w:tcPr>
          <w:p>
            <w:pPr>
              <w:widowControl/>
              <w:spacing w:line="240" w:lineRule="auto"/>
              <w:jc w:val="center"/>
              <w:rPr>
                <w:sz w:val="21"/>
              </w:rPr>
            </w:pPr>
            <w:r>
              <w:rPr>
                <w:sz w:val="21"/>
              </w:rPr>
              <w:t>统计局</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spacing w:line="240" w:lineRule="auto"/>
              <w:jc w:val="center"/>
              <w:rPr>
                <w:sz w:val="21"/>
              </w:rPr>
            </w:pPr>
            <w:r>
              <w:rPr>
                <w:sz w:val="21"/>
              </w:rPr>
              <w:t>达标</w:t>
            </w:r>
          </w:p>
        </w:tc>
      </w:tr>
      <w:tr>
        <w:trPr>
          <w:trHeight w:val="340"/>
        </w:trPr>
        <w:tc>
          <w:tcPr>
            <w:tcW w:w="594" w:type="dxa"/>
            <w:vMerge/>
            <w:tcBorders>
              <w:top w:val="single" w:sz="4" w:space="0" w:color="auto"/>
              <w:left w:val="single" w:sz="4" w:space="0" w:color="auto"/>
              <w:bottom w:val="single" w:sz="4" w:space="0" w:color="auto"/>
              <w:right w:val="single" w:sz="4" w:space="0" w:color="auto"/>
            </w:tcBorders>
            <w:noWrap/>
            <w:vAlign w:val="center"/>
          </w:tcPr>
          <w:p/>
        </w:tc>
        <w:tc>
          <w:tcPr>
            <w:tcW w:w="992" w:type="dxa"/>
            <w:vMerge/>
            <w:tcBorders>
              <w:top w:val="single" w:sz="4" w:space="0" w:color="auto"/>
              <w:left w:val="single" w:sz="4" w:space="0" w:color="auto"/>
              <w:bottom w:val="single" w:sz="4" w:space="0" w:color="auto"/>
              <w:right w:val="single" w:sz="4" w:space="0" w:color="auto"/>
            </w:tcBorders>
            <w:noWrap/>
            <w:vAlign w:val="center"/>
          </w:tcPr>
          <w:p/>
        </w:tc>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spacing w:line="240" w:lineRule="auto"/>
              <w:jc w:val="center"/>
              <w:rPr>
                <w:sz w:val="21"/>
              </w:rPr>
            </w:pPr>
            <w:r>
              <w:rPr>
                <w:rFonts w:hint="eastAsia"/>
                <w:sz w:val="21"/>
              </w:rPr>
              <w:t>1</w:t>
            </w:r>
            <w:r>
              <w:rPr>
                <w:sz w:val="21"/>
              </w:rPr>
              <w:t>7</w:t>
            </w:r>
          </w:p>
        </w:tc>
        <w:tc>
          <w:tcPr>
            <w:tcW w:w="397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spacing w:line="240" w:lineRule="auto"/>
              <w:rPr>
                <w:sz w:val="21"/>
              </w:rPr>
            </w:pPr>
            <w:r>
              <w:rPr>
                <w:rFonts w:hint="eastAsia"/>
                <w:sz w:val="21"/>
              </w:rPr>
              <w:t>城镇新建绿色建筑比例</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spacing w:line="240" w:lineRule="auto"/>
              <w:jc w:val="center"/>
              <w:rPr>
                <w:sz w:val="21"/>
              </w:rPr>
            </w:pPr>
            <w:r>
              <w:rPr>
                <w:rFonts w:hint="eastAsia"/>
                <w:sz w:val="21"/>
              </w:rPr>
              <w:t>%</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spacing w:line="240" w:lineRule="auto"/>
              <w:jc w:val="center"/>
              <w:rPr>
                <w:sz w:val="21"/>
              </w:rPr>
            </w:pPr>
            <w:r>
              <w:rPr>
                <w:rFonts w:hint="eastAsia"/>
                <w:sz w:val="21"/>
              </w:rPr>
              <w:t>10</w:t>
            </w:r>
            <w:r>
              <w:rPr>
                <w:sz w:val="21"/>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spacing w:line="240" w:lineRule="auto"/>
              <w:jc w:val="center"/>
              <w:rPr>
                <w:sz w:val="21"/>
              </w:rPr>
            </w:pPr>
            <w:r>
              <w:rPr>
                <w:sz w:val="21"/>
              </w:rPr>
              <w:t>100</w:t>
            </w:r>
          </w:p>
        </w:tc>
        <w:tc>
          <w:tcPr>
            <w:tcW w:w="1134" w:type="dxa"/>
            <w:tcBorders>
              <w:top w:val="single" w:sz="4" w:space="0" w:color="auto"/>
              <w:left w:val="single" w:sz="4" w:space="0" w:color="auto"/>
              <w:bottom w:val="single" w:sz="4" w:space="0" w:color="auto"/>
              <w:right w:val="single" w:sz="4" w:space="0" w:color="auto"/>
            </w:tcBorders>
            <w:noWrap/>
            <w:vAlign w:val="center"/>
          </w:tcPr>
          <w:p>
            <w:pPr>
              <w:widowControl/>
              <w:spacing w:line="240" w:lineRule="auto"/>
              <w:jc w:val="center"/>
              <w:rPr>
                <w:sz w:val="21"/>
              </w:rPr>
            </w:pPr>
            <w:r>
              <w:rPr>
                <w:sz w:val="21"/>
              </w:rPr>
              <w:t>100</w:t>
            </w:r>
          </w:p>
        </w:tc>
        <w:tc>
          <w:tcPr>
            <w:tcW w:w="1275" w:type="dxa"/>
            <w:tcBorders>
              <w:top w:val="single" w:sz="4" w:space="0" w:color="auto"/>
              <w:left w:val="single" w:sz="4" w:space="0" w:color="auto"/>
              <w:bottom w:val="single" w:sz="4" w:space="0" w:color="auto"/>
              <w:right w:val="single" w:sz="4" w:space="0" w:color="auto"/>
            </w:tcBorders>
            <w:noWrap/>
            <w:vAlign w:val="center"/>
          </w:tcPr>
          <w:p>
            <w:pPr>
              <w:widowControl/>
              <w:spacing w:line="240" w:lineRule="auto"/>
              <w:jc w:val="center"/>
              <w:rPr>
                <w:sz w:val="21"/>
              </w:rPr>
            </w:pPr>
            <w:r>
              <w:rPr>
                <w:sz w:val="21"/>
              </w:rPr>
              <w:t>100</w:t>
            </w:r>
          </w:p>
        </w:tc>
        <w:tc>
          <w:tcPr>
            <w:tcW w:w="1134" w:type="dxa"/>
            <w:tcBorders>
              <w:top w:val="single" w:sz="4" w:space="0" w:color="auto"/>
              <w:left w:val="single" w:sz="4" w:space="0" w:color="auto"/>
              <w:bottom w:val="single" w:sz="4" w:space="0" w:color="auto"/>
              <w:right w:val="single" w:sz="4" w:space="0" w:color="auto"/>
            </w:tcBorders>
            <w:noWrap/>
            <w:vAlign w:val="center"/>
          </w:tcPr>
          <w:p>
            <w:pPr>
              <w:widowControl/>
              <w:spacing w:line="240" w:lineRule="auto"/>
              <w:jc w:val="center"/>
              <w:rPr>
                <w:sz w:val="21"/>
              </w:rPr>
            </w:pPr>
            <w:r>
              <w:rPr>
                <w:sz w:val="21"/>
              </w:rPr>
              <w:t>住建局</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spacing w:line="240" w:lineRule="auto"/>
              <w:jc w:val="center"/>
              <w:rPr>
                <w:sz w:val="21"/>
              </w:rPr>
            </w:pPr>
            <w:r>
              <w:rPr>
                <w:rFonts w:hint="eastAsia"/>
                <w:sz w:val="21"/>
              </w:rPr>
              <w:t>达标</w:t>
            </w:r>
          </w:p>
        </w:tc>
      </w:tr>
      <w:tr>
        <w:trPr>
          <w:trHeight w:val="340"/>
        </w:trPr>
        <w:tc>
          <w:tcPr>
            <w:tcW w:w="594" w:type="dxa"/>
            <w:tcBorders>
              <w:top w:val="single" w:sz="4" w:space="0" w:color="auto"/>
              <w:left w:val="single" w:sz="4" w:space="0" w:color="auto"/>
              <w:bottom w:val="single" w:sz="4" w:space="0" w:color="auto"/>
              <w:right w:val="single" w:sz="4" w:space="0" w:color="auto"/>
            </w:tcBorders>
            <w:noWrap/>
            <w:vAlign w:val="center"/>
          </w:tcPr>
          <w:p>
            <w:pPr>
              <w:widowControl/>
              <w:spacing w:line="240" w:lineRule="auto"/>
              <w:jc w:val="left"/>
              <w:rPr>
                <w:b/>
                <w:bCs/>
                <w:sz w:val="21"/>
              </w:rPr>
            </w:pPr>
            <w:r>
              <w:rPr>
                <w:rFonts w:hint="eastAsia"/>
                <w:b/>
                <w:bCs/>
                <w:sz w:val="21"/>
              </w:rPr>
              <w:t>生态文明制度</w:t>
            </w:r>
          </w:p>
        </w:tc>
        <w:tc>
          <w:tcPr>
            <w:tcW w:w="992" w:type="dxa"/>
            <w:tcBorders>
              <w:top w:val="single" w:sz="4" w:space="0" w:color="auto"/>
              <w:left w:val="single" w:sz="4" w:space="0" w:color="auto"/>
              <w:bottom w:val="single" w:sz="4" w:space="0" w:color="auto"/>
              <w:right w:val="single" w:sz="4" w:space="0" w:color="auto"/>
            </w:tcBorders>
            <w:noWrap/>
            <w:vAlign w:val="center"/>
          </w:tcPr>
          <w:p>
            <w:pPr>
              <w:widowControl/>
              <w:spacing w:line="240" w:lineRule="auto"/>
              <w:jc w:val="center"/>
              <w:rPr>
                <w:sz w:val="21"/>
              </w:rPr>
            </w:pPr>
            <w:r>
              <w:rPr>
                <w:rFonts w:hint="eastAsia"/>
                <w:sz w:val="21"/>
              </w:rPr>
              <w:t>（八）体制机制保障</w:t>
            </w:r>
          </w:p>
        </w:tc>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spacing w:line="240" w:lineRule="auto"/>
              <w:jc w:val="center"/>
              <w:rPr>
                <w:sz w:val="21"/>
              </w:rPr>
            </w:pPr>
            <w:r>
              <w:rPr>
                <w:rFonts w:hint="eastAsia"/>
                <w:sz w:val="21"/>
              </w:rPr>
              <w:t>1</w:t>
            </w:r>
            <w:r>
              <w:rPr>
                <w:sz w:val="21"/>
              </w:rPr>
              <w:t>8</w:t>
            </w:r>
          </w:p>
        </w:tc>
        <w:tc>
          <w:tcPr>
            <w:tcW w:w="397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spacing w:line="240" w:lineRule="auto"/>
              <w:rPr>
                <w:sz w:val="21"/>
              </w:rPr>
            </w:pPr>
            <w:r>
              <w:rPr>
                <w:rFonts w:hint="eastAsia"/>
                <w:sz w:val="21"/>
              </w:rPr>
              <w:t>生态环境信息公开率</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spacing w:line="240" w:lineRule="auto"/>
              <w:jc w:val="center"/>
              <w:rPr>
                <w:sz w:val="21"/>
              </w:rPr>
            </w:pPr>
            <w:r>
              <w:rPr>
                <w:rFonts w:hint="eastAsia"/>
                <w:sz w:val="21"/>
              </w:rPr>
              <w:t>%</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spacing w:line="240" w:lineRule="auto"/>
              <w:jc w:val="center"/>
              <w:rPr>
                <w:sz w:val="21"/>
              </w:rPr>
            </w:pPr>
            <w:r>
              <w:rPr>
                <w:rFonts w:hint="eastAsia"/>
                <w:sz w:val="21"/>
              </w:rPr>
              <w:t>1</w:t>
            </w:r>
            <w:r>
              <w:rPr>
                <w:sz w:val="21"/>
              </w:rPr>
              <w:t>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spacing w:line="240" w:lineRule="auto"/>
              <w:jc w:val="center"/>
              <w:rPr>
                <w:sz w:val="21"/>
              </w:rPr>
            </w:pPr>
            <w:r>
              <w:rPr>
                <w:sz w:val="21"/>
              </w:rPr>
              <w:t>100</w:t>
            </w:r>
          </w:p>
        </w:tc>
        <w:tc>
          <w:tcPr>
            <w:tcW w:w="1134" w:type="dxa"/>
            <w:tcBorders>
              <w:top w:val="single" w:sz="4" w:space="0" w:color="auto"/>
              <w:left w:val="single" w:sz="4" w:space="0" w:color="auto"/>
              <w:bottom w:val="single" w:sz="4" w:space="0" w:color="auto"/>
              <w:right w:val="single" w:sz="4" w:space="0" w:color="auto"/>
            </w:tcBorders>
            <w:noWrap/>
            <w:vAlign w:val="center"/>
          </w:tcPr>
          <w:p>
            <w:pPr>
              <w:widowControl/>
              <w:spacing w:line="240" w:lineRule="auto"/>
              <w:jc w:val="center"/>
              <w:rPr>
                <w:sz w:val="21"/>
              </w:rPr>
            </w:pPr>
            <w:r>
              <w:rPr>
                <w:sz w:val="21"/>
              </w:rPr>
              <w:t>100</w:t>
            </w:r>
          </w:p>
        </w:tc>
        <w:tc>
          <w:tcPr>
            <w:tcW w:w="1275" w:type="dxa"/>
            <w:tcBorders>
              <w:top w:val="single" w:sz="4" w:space="0" w:color="auto"/>
              <w:left w:val="single" w:sz="4" w:space="0" w:color="auto"/>
              <w:bottom w:val="single" w:sz="4" w:space="0" w:color="auto"/>
              <w:right w:val="single" w:sz="4" w:space="0" w:color="auto"/>
            </w:tcBorders>
            <w:noWrap/>
            <w:vAlign w:val="center"/>
          </w:tcPr>
          <w:p>
            <w:pPr>
              <w:widowControl/>
              <w:spacing w:line="240" w:lineRule="auto"/>
              <w:jc w:val="center"/>
              <w:rPr>
                <w:sz w:val="21"/>
              </w:rPr>
            </w:pPr>
            <w:r>
              <w:rPr>
                <w:sz w:val="21"/>
              </w:rPr>
              <w:t>100</w:t>
            </w:r>
          </w:p>
        </w:tc>
        <w:tc>
          <w:tcPr>
            <w:tcW w:w="1134" w:type="dxa"/>
            <w:tcBorders>
              <w:top w:val="single" w:sz="4" w:space="0" w:color="auto"/>
              <w:left w:val="single" w:sz="4" w:space="0" w:color="auto"/>
              <w:bottom w:val="single" w:sz="4" w:space="0" w:color="auto"/>
              <w:right w:val="single" w:sz="4" w:space="0" w:color="auto"/>
            </w:tcBorders>
            <w:noWrap/>
            <w:vAlign w:val="center"/>
          </w:tcPr>
          <w:p>
            <w:pPr>
              <w:widowControl/>
              <w:spacing w:line="240" w:lineRule="auto"/>
              <w:jc w:val="center"/>
              <w:rPr>
                <w:sz w:val="21"/>
              </w:rPr>
            </w:pPr>
            <w:r>
              <w:rPr>
                <w:rFonts w:hint="eastAsia"/>
                <w:sz w:val="21"/>
              </w:rPr>
              <w:t>生态环境局</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spacing w:line="240" w:lineRule="auto"/>
              <w:jc w:val="center"/>
              <w:rPr>
                <w:sz w:val="21"/>
              </w:rPr>
            </w:pPr>
            <w:r>
              <w:rPr>
                <w:rFonts w:hint="eastAsia"/>
                <w:sz w:val="21"/>
              </w:rPr>
              <w:t>达标</w:t>
            </w:r>
          </w:p>
        </w:tc>
      </w:tr>
      <w:tr>
        <w:trPr>
          <w:trHeight w:val="340"/>
        </w:trPr>
        <w:tc>
          <w:tcPr>
            <w:tcW w:w="1586" w:type="dxa"/>
            <w:gridSpan w:val="2"/>
            <w:vMerge w:val="restart"/>
            <w:tcBorders>
              <w:top w:val="single" w:sz="4" w:space="0" w:color="auto"/>
              <w:left w:val="single" w:sz="4" w:space="0" w:color="auto"/>
              <w:bottom w:val="single" w:sz="4" w:space="0" w:color="auto"/>
              <w:right w:val="single" w:sz="4" w:space="0" w:color="auto"/>
            </w:tcBorders>
            <w:noWrap/>
            <w:vAlign w:val="center"/>
          </w:tcPr>
          <w:p>
            <w:pPr>
              <w:widowControl/>
              <w:spacing w:line="240" w:lineRule="auto"/>
              <w:jc w:val="center"/>
              <w:rPr>
                <w:sz w:val="21"/>
              </w:rPr>
            </w:pPr>
            <w:r>
              <w:rPr>
                <w:rFonts w:hint="eastAsia"/>
                <w:b/>
                <w:bCs/>
                <w:sz w:val="21"/>
              </w:rPr>
              <w:t>参考性指标</w:t>
            </w:r>
          </w:p>
        </w:tc>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spacing w:line="240" w:lineRule="auto"/>
              <w:jc w:val="center"/>
              <w:rPr>
                <w:sz w:val="21"/>
              </w:rPr>
            </w:pPr>
            <w:r>
              <w:rPr>
                <w:sz w:val="21"/>
              </w:rPr>
              <w:t>19</w:t>
            </w:r>
          </w:p>
        </w:tc>
        <w:tc>
          <w:tcPr>
            <w:tcW w:w="397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spacing w:line="240" w:lineRule="auto"/>
              <w:rPr>
                <w:sz w:val="21"/>
              </w:rPr>
            </w:pPr>
            <w:r>
              <w:rPr>
                <w:rFonts w:hint="eastAsia"/>
                <w:sz w:val="21"/>
              </w:rPr>
              <w:t>农村生活污水治理（管控）率</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spacing w:line="240" w:lineRule="auto"/>
              <w:jc w:val="center"/>
              <w:rPr>
                <w:sz w:val="21"/>
              </w:rPr>
            </w:pPr>
            <w:r>
              <w:rPr>
                <w:rFonts w:hint="eastAsia"/>
                <w:sz w:val="21"/>
              </w:rPr>
              <w:t>%</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spacing w:line="240" w:lineRule="auto"/>
              <w:jc w:val="center"/>
              <w:rPr>
                <w:sz w:val="21"/>
              </w:rPr>
            </w:pPr>
            <w:r>
              <w:rPr>
                <w:rFonts w:hint="eastAsia"/>
                <w:sz w:val="21"/>
              </w:rPr>
              <w:t>东部地区</w:t>
            </w:r>
            <w:r>
              <w:rPr>
                <w:sz w:val="21"/>
              </w:rPr>
              <w:t>≥60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spacing w:line="240" w:lineRule="auto"/>
              <w:jc w:val="center"/>
              <w:rPr>
                <w:sz w:val="21"/>
              </w:rPr>
            </w:pPr>
            <w:r>
              <w:rPr>
                <w:rFonts w:hint="eastAsia"/>
                <w:sz w:val="21"/>
              </w:rPr>
              <w:t>1</w:t>
            </w:r>
            <w:r>
              <w:rPr>
                <w:sz w:val="21"/>
              </w:rPr>
              <w:t>00</w:t>
            </w:r>
          </w:p>
        </w:tc>
        <w:tc>
          <w:tcPr>
            <w:tcW w:w="1134" w:type="dxa"/>
            <w:tcBorders>
              <w:top w:val="single" w:sz="4" w:space="0" w:color="auto"/>
              <w:left w:val="single" w:sz="4" w:space="0" w:color="auto"/>
              <w:bottom w:val="single" w:sz="4" w:space="0" w:color="auto"/>
              <w:right w:val="single" w:sz="4" w:space="0" w:color="auto"/>
            </w:tcBorders>
            <w:noWrap/>
            <w:vAlign w:val="center"/>
          </w:tcPr>
          <w:p>
            <w:pPr>
              <w:widowControl/>
              <w:spacing w:line="240" w:lineRule="auto"/>
              <w:jc w:val="center"/>
              <w:rPr>
                <w:sz w:val="21"/>
              </w:rPr>
            </w:pPr>
            <w:r>
              <w:rPr>
                <w:rFonts w:hint="eastAsia"/>
                <w:sz w:val="21"/>
              </w:rPr>
              <w:t>1</w:t>
            </w:r>
            <w:r>
              <w:rPr>
                <w:sz w:val="21"/>
              </w:rPr>
              <w:t>00</w:t>
            </w:r>
          </w:p>
        </w:tc>
        <w:tc>
          <w:tcPr>
            <w:tcW w:w="1275" w:type="dxa"/>
            <w:tcBorders>
              <w:top w:val="single" w:sz="4" w:space="0" w:color="auto"/>
              <w:left w:val="single" w:sz="4" w:space="0" w:color="auto"/>
              <w:bottom w:val="single" w:sz="4" w:space="0" w:color="auto"/>
              <w:right w:val="single" w:sz="4" w:space="0" w:color="auto"/>
            </w:tcBorders>
            <w:noWrap/>
            <w:vAlign w:val="center"/>
          </w:tcPr>
          <w:p>
            <w:pPr>
              <w:widowControl/>
              <w:spacing w:line="240" w:lineRule="auto"/>
              <w:jc w:val="center"/>
              <w:rPr>
                <w:sz w:val="21"/>
              </w:rPr>
            </w:pPr>
            <w:r>
              <w:rPr>
                <w:rFonts w:hint="eastAsia"/>
                <w:sz w:val="21"/>
              </w:rPr>
              <w:t>1</w:t>
            </w:r>
            <w:r>
              <w:rPr>
                <w:sz w:val="21"/>
              </w:rPr>
              <w:t>00</w:t>
            </w:r>
          </w:p>
        </w:tc>
        <w:tc>
          <w:tcPr>
            <w:tcW w:w="1134" w:type="dxa"/>
            <w:tcBorders>
              <w:top w:val="single" w:sz="4" w:space="0" w:color="auto"/>
              <w:left w:val="single" w:sz="4" w:space="0" w:color="auto"/>
              <w:bottom w:val="single" w:sz="4" w:space="0" w:color="auto"/>
              <w:right w:val="single" w:sz="4" w:space="0" w:color="auto"/>
            </w:tcBorders>
            <w:noWrap/>
            <w:vAlign w:val="center"/>
          </w:tcPr>
          <w:p>
            <w:pPr>
              <w:widowControl/>
              <w:spacing w:line="240" w:lineRule="auto"/>
              <w:jc w:val="center"/>
              <w:rPr>
                <w:sz w:val="21"/>
              </w:rPr>
            </w:pPr>
            <w:r>
              <w:rPr>
                <w:rFonts w:hint="eastAsia"/>
                <w:sz w:val="21"/>
              </w:rPr>
              <w:t>生态环境局</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spacing w:line="240" w:lineRule="auto"/>
              <w:jc w:val="center"/>
              <w:rPr>
                <w:sz w:val="21"/>
              </w:rPr>
            </w:pPr>
            <w:r>
              <w:rPr>
                <w:rFonts w:hint="eastAsia"/>
                <w:sz w:val="21"/>
              </w:rPr>
              <w:t>达标</w:t>
            </w:r>
          </w:p>
        </w:tc>
      </w:tr>
      <w:tr>
        <w:trPr>
          <w:trHeight w:val="340"/>
        </w:trPr>
        <w:tc>
          <w:tcPr>
            <w:tcW w:w="1586" w:type="dxa"/>
            <w:gridSpan w:val="2"/>
            <w:vMerge/>
            <w:tcBorders>
              <w:top w:val="single" w:sz="4" w:space="0" w:color="auto"/>
              <w:left w:val="single" w:sz="4" w:space="0" w:color="auto"/>
              <w:bottom w:val="single" w:sz="4" w:space="0" w:color="auto"/>
              <w:right w:val="single" w:sz="4" w:space="0" w:color="auto"/>
            </w:tcBorders>
            <w:noWrap/>
            <w:vAlign w:val="center"/>
          </w:tcPr>
          <w:p/>
        </w:tc>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spacing w:line="240" w:lineRule="auto"/>
              <w:jc w:val="center"/>
              <w:rPr>
                <w:sz w:val="21"/>
              </w:rPr>
            </w:pPr>
            <w:r>
              <w:rPr>
                <w:rFonts w:hint="eastAsia"/>
                <w:sz w:val="21"/>
              </w:rPr>
              <w:t>2</w:t>
            </w:r>
            <w:r>
              <w:rPr>
                <w:sz w:val="21"/>
              </w:rPr>
              <w:t>0</w:t>
            </w:r>
          </w:p>
        </w:tc>
        <w:tc>
          <w:tcPr>
            <w:tcW w:w="397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spacing w:line="240" w:lineRule="auto"/>
              <w:rPr>
                <w:sz w:val="21"/>
              </w:rPr>
            </w:pPr>
            <w:r>
              <w:rPr>
                <w:sz w:val="21"/>
              </w:rPr>
              <w:t>声环境功能区夜间达标率</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spacing w:line="240" w:lineRule="auto"/>
              <w:jc w:val="center"/>
              <w:rPr>
                <w:sz w:val="21"/>
              </w:rPr>
            </w:pPr>
            <w:r>
              <w:rPr>
                <w:sz w:val="21"/>
              </w:rPr>
              <w:t>%</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spacing w:line="240" w:lineRule="auto"/>
              <w:jc w:val="center"/>
              <w:rPr>
                <w:sz w:val="21"/>
              </w:rPr>
            </w:pPr>
            <w:r>
              <w:rPr>
                <w:sz w:val="21"/>
              </w:rPr>
              <w:t>完成目标任务，且保持稳定或持续提高</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spacing w:line="240" w:lineRule="auto"/>
              <w:jc w:val="center"/>
              <w:rPr>
                <w:sz w:val="21"/>
              </w:rPr>
            </w:pPr>
            <w:r>
              <w:rPr>
                <w:sz w:val="21"/>
              </w:rPr>
              <w:t>82%，完成目标任务</w:t>
            </w:r>
          </w:p>
        </w:tc>
        <w:tc>
          <w:tcPr>
            <w:tcW w:w="1134" w:type="dxa"/>
            <w:tcBorders>
              <w:top w:val="single" w:sz="4" w:space="0" w:color="auto"/>
              <w:left w:val="single" w:sz="4" w:space="0" w:color="auto"/>
              <w:bottom w:val="single" w:sz="4" w:space="0" w:color="auto"/>
              <w:right w:val="single" w:sz="4" w:space="0" w:color="auto"/>
            </w:tcBorders>
            <w:noWrap/>
            <w:vAlign w:val="center"/>
          </w:tcPr>
          <w:p>
            <w:pPr>
              <w:widowControl/>
              <w:spacing w:line="240" w:lineRule="auto"/>
              <w:jc w:val="center"/>
              <w:rPr>
                <w:sz w:val="21"/>
              </w:rPr>
            </w:pPr>
            <w:r>
              <w:rPr>
                <w:sz w:val="21"/>
              </w:rPr>
              <w:t>完成目标任务，且保持稳定或持续提高</w:t>
            </w:r>
          </w:p>
        </w:tc>
        <w:tc>
          <w:tcPr>
            <w:tcW w:w="1275" w:type="dxa"/>
            <w:tcBorders>
              <w:top w:val="single" w:sz="4" w:space="0" w:color="auto"/>
              <w:left w:val="single" w:sz="4" w:space="0" w:color="auto"/>
              <w:bottom w:val="single" w:sz="4" w:space="0" w:color="auto"/>
              <w:right w:val="single" w:sz="4" w:space="0" w:color="auto"/>
            </w:tcBorders>
            <w:noWrap/>
            <w:vAlign w:val="center"/>
          </w:tcPr>
          <w:p>
            <w:pPr>
              <w:widowControl/>
              <w:spacing w:line="240" w:lineRule="auto"/>
              <w:jc w:val="center"/>
              <w:rPr>
                <w:sz w:val="21"/>
              </w:rPr>
            </w:pPr>
            <w:r>
              <w:rPr>
                <w:sz w:val="21"/>
              </w:rPr>
              <w:t>完成目标任务，且保持稳定或持续提高</w:t>
            </w:r>
          </w:p>
        </w:tc>
        <w:tc>
          <w:tcPr>
            <w:tcW w:w="1134" w:type="dxa"/>
            <w:tcBorders>
              <w:top w:val="single" w:sz="4" w:space="0" w:color="auto"/>
              <w:left w:val="single" w:sz="4" w:space="0" w:color="auto"/>
              <w:bottom w:val="single" w:sz="4" w:space="0" w:color="auto"/>
              <w:right w:val="single" w:sz="4" w:space="0" w:color="auto"/>
            </w:tcBorders>
            <w:noWrap/>
            <w:vAlign w:val="center"/>
          </w:tcPr>
          <w:p>
            <w:pPr>
              <w:widowControl/>
              <w:spacing w:line="240" w:lineRule="auto"/>
              <w:jc w:val="center"/>
              <w:rPr>
                <w:sz w:val="21"/>
              </w:rPr>
            </w:pPr>
            <w:r>
              <w:rPr>
                <w:sz w:val="21"/>
              </w:rPr>
              <w:t>生态环境局</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spacing w:line="240" w:lineRule="auto"/>
              <w:jc w:val="center"/>
              <w:rPr>
                <w:sz w:val="21"/>
              </w:rPr>
            </w:pPr>
            <w:r>
              <w:rPr>
                <w:sz w:val="21"/>
              </w:rPr>
              <w:t>达标</w:t>
            </w:r>
          </w:p>
        </w:tc>
      </w:tr>
      <w:tr>
        <w:trPr>
          <w:trHeight w:val="340"/>
        </w:trPr>
        <w:tc>
          <w:tcPr>
            <w:tcW w:w="1586" w:type="dxa"/>
            <w:gridSpan w:val="2"/>
            <w:vMerge/>
            <w:tcBorders>
              <w:top w:val="single" w:sz="4" w:space="0" w:color="auto"/>
              <w:left w:val="single" w:sz="4" w:space="0" w:color="auto"/>
              <w:bottom w:val="single" w:sz="4" w:space="0" w:color="auto"/>
              <w:right w:val="single" w:sz="4" w:space="0" w:color="auto"/>
            </w:tcBorders>
            <w:noWrap/>
            <w:vAlign w:val="center"/>
          </w:tcPr>
          <w:p/>
        </w:tc>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spacing w:line="240" w:lineRule="auto"/>
              <w:jc w:val="center"/>
              <w:rPr>
                <w:sz w:val="21"/>
              </w:rPr>
            </w:pPr>
            <w:r>
              <w:rPr>
                <w:rFonts w:hint="eastAsia"/>
                <w:sz w:val="21"/>
              </w:rPr>
              <w:t>2</w:t>
            </w:r>
            <w:r>
              <w:rPr>
                <w:sz w:val="21"/>
              </w:rPr>
              <w:t>1</w:t>
            </w:r>
          </w:p>
        </w:tc>
        <w:tc>
          <w:tcPr>
            <w:tcW w:w="397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spacing w:line="240" w:lineRule="auto"/>
              <w:rPr>
                <w:sz w:val="21"/>
              </w:rPr>
            </w:pPr>
            <w:r>
              <w:rPr>
                <w:rFonts w:hint="eastAsia"/>
                <w:sz w:val="21"/>
              </w:rPr>
              <w:t>危险废物填埋处置量占比</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spacing w:line="240" w:lineRule="auto"/>
              <w:jc w:val="center"/>
              <w:rPr>
                <w:sz w:val="21"/>
              </w:rPr>
            </w:pPr>
            <w:r>
              <w:rPr>
                <w:rFonts w:hint="eastAsia"/>
                <w:sz w:val="21"/>
              </w:rPr>
              <w:t>%</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spacing w:line="240" w:lineRule="auto"/>
              <w:jc w:val="center"/>
              <w:rPr>
                <w:sz w:val="21"/>
              </w:rPr>
            </w:pPr>
            <w:r>
              <w:rPr>
                <w:rFonts w:hint="eastAsia"/>
                <w:sz w:val="21"/>
              </w:rPr>
              <w:t>持续下降</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spacing w:line="240" w:lineRule="auto"/>
              <w:jc w:val="center"/>
              <w:rPr>
                <w:sz w:val="21"/>
              </w:rPr>
            </w:pPr>
            <w:r>
              <w:rPr>
                <w:sz w:val="21"/>
              </w:rPr>
              <w:t>0.17</w:t>
            </w:r>
            <w:r>
              <w:rPr>
                <w:rFonts w:hint="eastAsia"/>
                <w:sz w:val="21"/>
              </w:rPr>
              <w:t>，持续下降</w:t>
            </w:r>
          </w:p>
        </w:tc>
        <w:tc>
          <w:tcPr>
            <w:tcW w:w="1134" w:type="dxa"/>
            <w:tcBorders>
              <w:top w:val="single" w:sz="4" w:space="0" w:color="auto"/>
              <w:left w:val="single" w:sz="4" w:space="0" w:color="auto"/>
              <w:bottom w:val="single" w:sz="4" w:space="0" w:color="auto"/>
              <w:right w:val="single" w:sz="4" w:space="0" w:color="auto"/>
            </w:tcBorders>
            <w:noWrap/>
            <w:vAlign w:val="center"/>
          </w:tcPr>
          <w:p>
            <w:pPr>
              <w:widowControl/>
              <w:spacing w:line="240" w:lineRule="auto"/>
              <w:jc w:val="center"/>
              <w:rPr>
                <w:sz w:val="21"/>
              </w:rPr>
            </w:pPr>
            <w:r>
              <w:rPr>
                <w:rFonts w:hint="eastAsia"/>
                <w:sz w:val="21"/>
              </w:rPr>
              <w:t>持续下降</w:t>
            </w:r>
          </w:p>
        </w:tc>
        <w:tc>
          <w:tcPr>
            <w:tcW w:w="1275" w:type="dxa"/>
            <w:tcBorders>
              <w:top w:val="single" w:sz="4" w:space="0" w:color="auto"/>
              <w:left w:val="single" w:sz="4" w:space="0" w:color="auto"/>
              <w:bottom w:val="single" w:sz="4" w:space="0" w:color="auto"/>
              <w:right w:val="single" w:sz="4" w:space="0" w:color="auto"/>
            </w:tcBorders>
            <w:noWrap/>
            <w:vAlign w:val="center"/>
          </w:tcPr>
          <w:p>
            <w:pPr>
              <w:widowControl/>
              <w:spacing w:line="240" w:lineRule="auto"/>
              <w:jc w:val="center"/>
              <w:rPr>
                <w:sz w:val="21"/>
              </w:rPr>
            </w:pPr>
            <w:r>
              <w:rPr>
                <w:rFonts w:hint="eastAsia"/>
                <w:sz w:val="21"/>
              </w:rPr>
              <w:t>持续下降</w:t>
            </w:r>
          </w:p>
        </w:tc>
        <w:tc>
          <w:tcPr>
            <w:tcW w:w="1134" w:type="dxa"/>
            <w:tcBorders>
              <w:top w:val="single" w:sz="4" w:space="0" w:color="auto"/>
              <w:left w:val="single" w:sz="4" w:space="0" w:color="auto"/>
              <w:bottom w:val="single" w:sz="4" w:space="0" w:color="auto"/>
              <w:right w:val="single" w:sz="4" w:space="0" w:color="auto"/>
            </w:tcBorders>
            <w:noWrap/>
            <w:vAlign w:val="center"/>
          </w:tcPr>
          <w:p>
            <w:pPr>
              <w:widowControl/>
              <w:spacing w:line="240" w:lineRule="auto"/>
              <w:jc w:val="center"/>
              <w:rPr>
                <w:sz w:val="21"/>
              </w:rPr>
            </w:pPr>
            <w:r>
              <w:rPr>
                <w:sz w:val="21"/>
              </w:rPr>
              <w:t>生态环境局</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spacing w:line="240" w:lineRule="auto"/>
              <w:jc w:val="center"/>
              <w:rPr>
                <w:sz w:val="21"/>
              </w:rPr>
            </w:pPr>
            <w:r>
              <w:rPr>
                <w:sz w:val="21"/>
              </w:rPr>
              <w:t>达标</w:t>
            </w:r>
          </w:p>
        </w:tc>
      </w:tr>
      <w:tr>
        <w:trPr>
          <w:trHeight w:val="340"/>
        </w:trPr>
        <w:tc>
          <w:tcPr>
            <w:tcW w:w="1586" w:type="dxa"/>
            <w:gridSpan w:val="2"/>
            <w:vMerge/>
            <w:tcBorders>
              <w:top w:val="single" w:sz="4" w:space="0" w:color="auto"/>
              <w:left w:val="single" w:sz="4" w:space="0" w:color="auto"/>
              <w:bottom w:val="single" w:sz="4" w:space="0" w:color="auto"/>
              <w:right w:val="single" w:sz="4" w:space="0" w:color="auto"/>
            </w:tcBorders>
            <w:noWrap/>
            <w:vAlign w:val="center"/>
          </w:tcPr>
          <w:p/>
        </w:tc>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spacing w:line="240" w:lineRule="auto"/>
              <w:jc w:val="center"/>
              <w:rPr>
                <w:sz w:val="21"/>
              </w:rPr>
            </w:pPr>
            <w:r>
              <w:rPr>
                <w:rFonts w:hint="eastAsia"/>
                <w:sz w:val="21"/>
              </w:rPr>
              <w:t>2</w:t>
            </w:r>
            <w:r>
              <w:rPr>
                <w:sz w:val="21"/>
              </w:rPr>
              <w:t>2</w:t>
            </w:r>
          </w:p>
        </w:tc>
        <w:tc>
          <w:tcPr>
            <w:tcW w:w="397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spacing w:line="240" w:lineRule="auto"/>
              <w:rPr>
                <w:sz w:val="21"/>
              </w:rPr>
            </w:pPr>
            <w:r>
              <w:rPr>
                <w:sz w:val="21"/>
              </w:rPr>
              <w:t>河湖岸线保护率</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spacing w:line="240" w:lineRule="auto"/>
              <w:jc w:val="center"/>
              <w:rPr>
                <w:sz w:val="21"/>
              </w:rPr>
            </w:pPr>
            <w:r>
              <w:rPr>
                <w:sz w:val="21"/>
              </w:rPr>
              <w:t>%</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spacing w:line="240" w:lineRule="auto"/>
              <w:jc w:val="center"/>
              <w:rPr>
                <w:sz w:val="21"/>
              </w:rPr>
            </w:pPr>
            <w:r>
              <w:rPr>
                <w:sz w:val="21"/>
              </w:rPr>
              <w:t>完成上级管控目标</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spacing w:line="240" w:lineRule="auto"/>
              <w:jc w:val="center"/>
              <w:rPr>
                <w:sz w:val="21"/>
              </w:rPr>
            </w:pPr>
            <w:r>
              <w:rPr>
                <w:sz w:val="21"/>
              </w:rPr>
              <w:t>暂无管控目标</w:t>
            </w:r>
          </w:p>
        </w:tc>
        <w:tc>
          <w:tcPr>
            <w:tcW w:w="1134" w:type="dxa"/>
            <w:tcBorders>
              <w:top w:val="single" w:sz="4" w:space="0" w:color="auto"/>
              <w:left w:val="single" w:sz="4" w:space="0" w:color="auto"/>
              <w:bottom w:val="single" w:sz="4" w:space="0" w:color="auto"/>
              <w:right w:val="single" w:sz="4" w:space="0" w:color="auto"/>
            </w:tcBorders>
            <w:noWrap/>
            <w:vAlign w:val="center"/>
          </w:tcPr>
          <w:p>
            <w:pPr>
              <w:widowControl/>
              <w:spacing w:line="240" w:lineRule="auto"/>
              <w:jc w:val="center"/>
              <w:rPr>
                <w:sz w:val="21"/>
              </w:rPr>
            </w:pPr>
            <w:r>
              <w:rPr>
                <w:sz w:val="21"/>
              </w:rPr>
              <w:t>完成上级管控目标</w:t>
            </w:r>
          </w:p>
        </w:tc>
        <w:tc>
          <w:tcPr>
            <w:tcW w:w="1275" w:type="dxa"/>
            <w:tcBorders>
              <w:top w:val="single" w:sz="4" w:space="0" w:color="auto"/>
              <w:left w:val="single" w:sz="4" w:space="0" w:color="auto"/>
              <w:bottom w:val="single" w:sz="4" w:space="0" w:color="auto"/>
              <w:right w:val="single" w:sz="4" w:space="0" w:color="auto"/>
            </w:tcBorders>
            <w:noWrap/>
            <w:vAlign w:val="center"/>
          </w:tcPr>
          <w:p>
            <w:pPr>
              <w:widowControl/>
              <w:spacing w:line="240" w:lineRule="auto"/>
              <w:jc w:val="center"/>
              <w:rPr>
                <w:sz w:val="21"/>
              </w:rPr>
            </w:pPr>
            <w:r>
              <w:rPr>
                <w:sz w:val="21"/>
              </w:rPr>
              <w:t>完成上级管控目标</w:t>
            </w:r>
          </w:p>
        </w:tc>
        <w:tc>
          <w:tcPr>
            <w:tcW w:w="1134" w:type="dxa"/>
            <w:tcBorders>
              <w:top w:val="single" w:sz="4" w:space="0" w:color="auto"/>
              <w:left w:val="single" w:sz="4" w:space="0" w:color="auto"/>
              <w:bottom w:val="single" w:sz="4" w:space="0" w:color="auto"/>
              <w:right w:val="single" w:sz="4" w:space="0" w:color="auto"/>
            </w:tcBorders>
            <w:noWrap/>
            <w:vAlign w:val="center"/>
          </w:tcPr>
          <w:p>
            <w:pPr>
              <w:widowControl/>
              <w:spacing w:line="240" w:lineRule="auto"/>
              <w:jc w:val="center"/>
              <w:rPr>
                <w:sz w:val="21"/>
              </w:rPr>
            </w:pPr>
            <w:r>
              <w:rPr>
                <w:sz w:val="21"/>
              </w:rPr>
              <w:t>水务局</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spacing w:line="240" w:lineRule="auto"/>
              <w:jc w:val="center"/>
              <w:rPr>
                <w:sz w:val="21"/>
              </w:rPr>
            </w:pPr>
            <w:r>
              <w:rPr>
                <w:sz w:val="21"/>
              </w:rPr>
              <w:t>达标</w:t>
            </w:r>
          </w:p>
        </w:tc>
      </w:tr>
      <w:tr>
        <w:trPr>
          <w:trHeight w:val="340"/>
        </w:trPr>
        <w:tc>
          <w:tcPr>
            <w:tcW w:w="1586" w:type="dxa"/>
            <w:gridSpan w:val="2"/>
            <w:vMerge/>
            <w:tcBorders>
              <w:top w:val="single" w:sz="4" w:space="0" w:color="auto"/>
              <w:left w:val="single" w:sz="4" w:space="0" w:color="auto"/>
              <w:bottom w:val="single" w:sz="4" w:space="0" w:color="auto"/>
              <w:right w:val="single" w:sz="4" w:space="0" w:color="auto"/>
            </w:tcBorders>
            <w:noWrap/>
            <w:vAlign w:val="center"/>
          </w:tcPr>
          <w:p/>
        </w:tc>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spacing w:line="240" w:lineRule="auto"/>
              <w:jc w:val="center"/>
              <w:rPr>
                <w:sz w:val="21"/>
              </w:rPr>
            </w:pPr>
            <w:r>
              <w:rPr>
                <w:rFonts w:hint="eastAsia"/>
                <w:sz w:val="21"/>
              </w:rPr>
              <w:t>2</w:t>
            </w:r>
            <w:r>
              <w:rPr>
                <w:sz w:val="21"/>
              </w:rPr>
              <w:t>3</w:t>
            </w:r>
          </w:p>
        </w:tc>
        <w:tc>
          <w:tcPr>
            <w:tcW w:w="397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spacing w:line="240" w:lineRule="auto"/>
              <w:rPr>
                <w:sz w:val="21"/>
              </w:rPr>
            </w:pPr>
            <w:r>
              <w:rPr>
                <w:rFonts w:hint="eastAsia"/>
                <w:sz w:val="21"/>
              </w:rPr>
              <w:t>耕地土壤有机质含量</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spacing w:line="240" w:lineRule="auto"/>
              <w:jc w:val="center"/>
              <w:rPr>
                <w:sz w:val="21"/>
              </w:rPr>
            </w:pPr>
            <w:r>
              <w:rPr>
                <w:rFonts w:hint="eastAsia"/>
                <w:sz w:val="21"/>
              </w:rPr>
              <w:t>g</w:t>
            </w:r>
            <w:r>
              <w:rPr>
                <w:sz w:val="21"/>
              </w:rPr>
              <w:t>/kg</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spacing w:line="240" w:lineRule="auto"/>
              <w:jc w:val="center"/>
              <w:rPr>
                <w:sz w:val="21"/>
              </w:rPr>
            </w:pPr>
            <w:r>
              <w:rPr>
                <w:rFonts w:hint="eastAsia"/>
                <w:sz w:val="21"/>
              </w:rPr>
              <w:t>保持稳定或有所提高</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spacing w:line="240" w:lineRule="auto"/>
              <w:jc w:val="center"/>
              <w:rPr>
                <w:sz w:val="21"/>
              </w:rPr>
            </w:pPr>
            <w:r>
              <w:rPr>
                <w:rFonts w:hint="eastAsia"/>
                <w:sz w:val="21"/>
              </w:rPr>
              <w:t>2</w:t>
            </w:r>
            <w:r>
              <w:rPr>
                <w:sz w:val="21"/>
              </w:rPr>
              <w:t>2.5</w:t>
            </w:r>
            <w:r>
              <w:rPr>
                <w:rFonts w:hint="eastAsia"/>
                <w:sz w:val="21"/>
              </w:rPr>
              <w:t>，保持稳定</w:t>
            </w:r>
          </w:p>
        </w:tc>
        <w:tc>
          <w:tcPr>
            <w:tcW w:w="1134" w:type="dxa"/>
            <w:tcBorders>
              <w:top w:val="single" w:sz="4" w:space="0" w:color="auto"/>
              <w:left w:val="single" w:sz="4" w:space="0" w:color="auto"/>
              <w:bottom w:val="single" w:sz="4" w:space="0" w:color="auto"/>
              <w:right w:val="single" w:sz="4" w:space="0" w:color="auto"/>
            </w:tcBorders>
            <w:noWrap/>
            <w:vAlign w:val="center"/>
          </w:tcPr>
          <w:p>
            <w:pPr>
              <w:widowControl/>
              <w:spacing w:line="240" w:lineRule="auto"/>
              <w:jc w:val="center"/>
              <w:rPr>
                <w:sz w:val="21"/>
              </w:rPr>
            </w:pPr>
            <w:r>
              <w:rPr>
                <w:rFonts w:hint="eastAsia"/>
                <w:sz w:val="21"/>
              </w:rPr>
              <w:t>保持稳定或有所提高</w:t>
            </w:r>
          </w:p>
        </w:tc>
        <w:tc>
          <w:tcPr>
            <w:tcW w:w="1275" w:type="dxa"/>
            <w:tcBorders>
              <w:top w:val="single" w:sz="4" w:space="0" w:color="auto"/>
              <w:left w:val="single" w:sz="4" w:space="0" w:color="auto"/>
              <w:bottom w:val="single" w:sz="4" w:space="0" w:color="auto"/>
              <w:right w:val="single" w:sz="4" w:space="0" w:color="auto"/>
            </w:tcBorders>
            <w:noWrap/>
            <w:vAlign w:val="center"/>
          </w:tcPr>
          <w:p>
            <w:pPr>
              <w:widowControl/>
              <w:spacing w:line="240" w:lineRule="auto"/>
              <w:jc w:val="center"/>
              <w:rPr>
                <w:sz w:val="21"/>
              </w:rPr>
            </w:pPr>
            <w:r>
              <w:rPr>
                <w:rFonts w:hint="eastAsia"/>
                <w:sz w:val="21"/>
              </w:rPr>
              <w:t>保持稳定或有所提高</w:t>
            </w:r>
          </w:p>
        </w:tc>
        <w:tc>
          <w:tcPr>
            <w:tcW w:w="1134" w:type="dxa"/>
            <w:tcBorders>
              <w:top w:val="single" w:sz="4" w:space="0" w:color="auto"/>
              <w:left w:val="single" w:sz="4" w:space="0" w:color="auto"/>
              <w:bottom w:val="single" w:sz="4" w:space="0" w:color="auto"/>
              <w:right w:val="single" w:sz="4" w:space="0" w:color="auto"/>
            </w:tcBorders>
            <w:noWrap/>
            <w:vAlign w:val="center"/>
          </w:tcPr>
          <w:p>
            <w:pPr>
              <w:widowControl/>
              <w:spacing w:line="240" w:lineRule="auto"/>
              <w:jc w:val="center"/>
              <w:rPr>
                <w:sz w:val="21"/>
              </w:rPr>
            </w:pPr>
            <w:r>
              <w:rPr>
                <w:rFonts w:hint="eastAsia"/>
                <w:sz w:val="21"/>
              </w:rPr>
              <w:t>农业农村局</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spacing w:line="240" w:lineRule="auto"/>
              <w:jc w:val="center"/>
              <w:rPr>
                <w:sz w:val="21"/>
              </w:rPr>
            </w:pPr>
            <w:r>
              <w:rPr>
                <w:rFonts w:hint="eastAsia"/>
                <w:sz w:val="21"/>
              </w:rPr>
              <w:t>达标</w:t>
            </w:r>
          </w:p>
        </w:tc>
      </w:tr>
      <w:tr>
        <w:trPr>
          <w:trHeight w:val="340"/>
        </w:trPr>
        <w:tc>
          <w:tcPr>
            <w:tcW w:w="1586" w:type="dxa"/>
            <w:gridSpan w:val="2"/>
            <w:vMerge/>
            <w:tcBorders>
              <w:top w:val="single" w:sz="4" w:space="0" w:color="auto"/>
              <w:left w:val="single" w:sz="4" w:space="0" w:color="auto"/>
              <w:bottom w:val="single" w:sz="4" w:space="0" w:color="auto"/>
              <w:right w:val="single" w:sz="4" w:space="0" w:color="auto"/>
            </w:tcBorders>
            <w:noWrap/>
            <w:vAlign w:val="center"/>
          </w:tcPr>
          <w:p/>
        </w:tc>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spacing w:line="240" w:lineRule="auto"/>
              <w:jc w:val="center"/>
              <w:rPr>
                <w:sz w:val="21"/>
              </w:rPr>
            </w:pPr>
            <w:r>
              <w:rPr>
                <w:rFonts w:hint="eastAsia"/>
                <w:sz w:val="21"/>
              </w:rPr>
              <w:t>2</w:t>
            </w:r>
            <w:r>
              <w:rPr>
                <w:sz w:val="21"/>
              </w:rPr>
              <w:t>4</w:t>
            </w:r>
          </w:p>
        </w:tc>
        <w:tc>
          <w:tcPr>
            <w:tcW w:w="397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spacing w:line="240" w:lineRule="auto"/>
              <w:rPr>
                <w:sz w:val="21"/>
              </w:rPr>
            </w:pPr>
            <w:r>
              <w:rPr>
                <w:sz w:val="21"/>
              </w:rPr>
              <w:t>软件业务收入*</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spacing w:line="240" w:lineRule="auto"/>
              <w:jc w:val="center"/>
              <w:rPr>
                <w:sz w:val="21"/>
              </w:rPr>
            </w:pPr>
            <w:r>
              <w:rPr>
                <w:sz w:val="21"/>
              </w:rPr>
              <w:t>亿元</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spacing w:line="240" w:lineRule="auto"/>
              <w:jc w:val="center"/>
              <w:rPr>
                <w:sz w:val="21"/>
              </w:rPr>
            </w:pPr>
            <w:r>
              <w:rPr>
                <w:sz w:val="21"/>
              </w:rPr>
              <w:t>2500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spacing w:line="240" w:lineRule="auto"/>
              <w:jc w:val="center"/>
              <w:rPr>
                <w:sz w:val="21"/>
              </w:rPr>
            </w:pPr>
            <w:r>
              <w:rPr>
                <w:sz w:val="21"/>
              </w:rPr>
              <w:t>2600</w:t>
            </w:r>
          </w:p>
        </w:tc>
        <w:tc>
          <w:tcPr>
            <w:tcW w:w="1134" w:type="dxa"/>
            <w:tcBorders>
              <w:top w:val="single" w:sz="4" w:space="0" w:color="auto"/>
              <w:left w:val="single" w:sz="4" w:space="0" w:color="auto"/>
              <w:bottom w:val="single" w:sz="4" w:space="0" w:color="auto"/>
              <w:right w:val="single" w:sz="4" w:space="0" w:color="auto"/>
            </w:tcBorders>
            <w:noWrap/>
            <w:vAlign w:val="center"/>
          </w:tcPr>
          <w:p>
            <w:pPr>
              <w:widowControl/>
              <w:spacing w:line="240" w:lineRule="auto"/>
              <w:jc w:val="center"/>
              <w:rPr>
                <w:sz w:val="21"/>
              </w:rPr>
            </w:pPr>
            <w:r>
              <w:rPr>
                <w:sz w:val="21"/>
              </w:rPr>
              <w:t>4500</w:t>
            </w:r>
          </w:p>
        </w:tc>
        <w:tc>
          <w:tcPr>
            <w:tcW w:w="1275" w:type="dxa"/>
            <w:tcBorders>
              <w:top w:val="single" w:sz="4" w:space="0" w:color="auto"/>
              <w:left w:val="single" w:sz="4" w:space="0" w:color="auto"/>
              <w:bottom w:val="single" w:sz="4" w:space="0" w:color="auto"/>
              <w:right w:val="single" w:sz="4" w:space="0" w:color="auto"/>
            </w:tcBorders>
            <w:noWrap/>
            <w:vAlign w:val="center"/>
          </w:tcPr>
          <w:p>
            <w:pPr>
              <w:widowControl/>
              <w:spacing w:line="240" w:lineRule="auto"/>
              <w:jc w:val="center"/>
              <w:rPr>
                <w:sz w:val="21"/>
              </w:rPr>
            </w:pPr>
            <w:r>
              <w:rPr>
                <w:sz w:val="21"/>
              </w:rPr>
              <w:t>6000</w:t>
            </w:r>
          </w:p>
        </w:tc>
        <w:tc>
          <w:tcPr>
            <w:tcW w:w="1134" w:type="dxa"/>
            <w:tcBorders>
              <w:top w:val="single" w:sz="4" w:space="0" w:color="auto"/>
              <w:left w:val="single" w:sz="4" w:space="0" w:color="auto"/>
              <w:bottom w:val="single" w:sz="4" w:space="0" w:color="auto"/>
              <w:right w:val="single" w:sz="4" w:space="0" w:color="auto"/>
            </w:tcBorders>
            <w:noWrap/>
            <w:vAlign w:val="center"/>
          </w:tcPr>
          <w:p>
            <w:pPr>
              <w:widowControl/>
              <w:spacing w:line="240" w:lineRule="auto"/>
              <w:jc w:val="center"/>
              <w:rPr>
                <w:sz w:val="21"/>
              </w:rPr>
            </w:pPr>
            <w:r>
              <w:rPr>
                <w:sz w:val="21"/>
              </w:rPr>
              <w:t>软件办</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spacing w:line="240" w:lineRule="auto"/>
              <w:jc w:val="center"/>
              <w:rPr>
                <w:sz w:val="21"/>
              </w:rPr>
            </w:pPr>
            <w:r>
              <w:rPr>
                <w:sz w:val="21"/>
              </w:rPr>
              <w:t>达标</w:t>
            </w:r>
          </w:p>
        </w:tc>
      </w:tr>
      <w:tr>
        <w:trPr>
          <w:trHeight w:val="340"/>
        </w:trPr>
        <w:tc>
          <w:tcPr>
            <w:tcW w:w="1586" w:type="dxa"/>
            <w:gridSpan w:val="2"/>
            <w:vMerge/>
            <w:tcBorders>
              <w:top w:val="single" w:sz="4" w:space="0" w:color="auto"/>
              <w:left w:val="single" w:sz="4" w:space="0" w:color="auto"/>
              <w:bottom w:val="single" w:sz="4" w:space="0" w:color="auto"/>
              <w:right w:val="single" w:sz="4" w:space="0" w:color="auto"/>
            </w:tcBorders>
            <w:noWrap/>
            <w:vAlign w:val="center"/>
          </w:tcPr>
          <w:p/>
        </w:tc>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spacing w:line="240" w:lineRule="auto"/>
              <w:jc w:val="center"/>
              <w:rPr>
                <w:sz w:val="21"/>
              </w:rPr>
            </w:pPr>
            <w:r>
              <w:rPr>
                <w:rFonts w:hint="eastAsia"/>
                <w:sz w:val="21"/>
              </w:rPr>
              <w:t>2</w:t>
            </w:r>
            <w:r>
              <w:rPr>
                <w:sz w:val="21"/>
              </w:rPr>
              <w:t>5</w:t>
            </w:r>
          </w:p>
        </w:tc>
        <w:tc>
          <w:tcPr>
            <w:tcW w:w="397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spacing w:line="240" w:lineRule="auto"/>
              <w:rPr>
                <w:sz w:val="21"/>
              </w:rPr>
            </w:pPr>
            <w:r>
              <w:rPr>
                <w:sz w:val="21"/>
              </w:rPr>
              <w:t>全域旅游收入*</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spacing w:line="240" w:lineRule="auto"/>
              <w:jc w:val="center"/>
              <w:rPr>
                <w:sz w:val="21"/>
              </w:rPr>
            </w:pPr>
            <w:r>
              <w:rPr>
                <w:sz w:val="21"/>
              </w:rPr>
              <w:t>亿元</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spacing w:line="240" w:lineRule="auto"/>
              <w:jc w:val="center"/>
              <w:rPr>
                <w:sz w:val="21"/>
              </w:rPr>
            </w:pPr>
            <w:r>
              <w:rPr>
                <w:sz w:val="21"/>
              </w:rPr>
              <w:t>≥1</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spacing w:line="240" w:lineRule="auto"/>
              <w:jc w:val="center"/>
              <w:rPr>
                <w:sz w:val="21"/>
              </w:rPr>
            </w:pPr>
            <w:r>
              <w:rPr>
                <w:sz w:val="21"/>
              </w:rPr>
              <w:t>1.09</w:t>
            </w:r>
          </w:p>
        </w:tc>
        <w:tc>
          <w:tcPr>
            <w:tcW w:w="1134" w:type="dxa"/>
            <w:tcBorders>
              <w:top w:val="single" w:sz="4" w:space="0" w:color="auto"/>
              <w:left w:val="single" w:sz="4" w:space="0" w:color="auto"/>
              <w:bottom w:val="single" w:sz="4" w:space="0" w:color="auto"/>
              <w:right w:val="single" w:sz="4" w:space="0" w:color="auto"/>
            </w:tcBorders>
            <w:noWrap/>
            <w:vAlign w:val="center"/>
          </w:tcPr>
          <w:p>
            <w:pPr>
              <w:widowControl/>
              <w:spacing w:line="240" w:lineRule="auto"/>
              <w:jc w:val="center"/>
              <w:rPr>
                <w:sz w:val="21"/>
              </w:rPr>
            </w:pPr>
            <w:r>
              <w:rPr>
                <w:sz w:val="21"/>
              </w:rPr>
              <w:t>2</w:t>
            </w:r>
          </w:p>
        </w:tc>
        <w:tc>
          <w:tcPr>
            <w:tcW w:w="1275" w:type="dxa"/>
            <w:tcBorders>
              <w:top w:val="single" w:sz="4" w:space="0" w:color="auto"/>
              <w:left w:val="single" w:sz="4" w:space="0" w:color="auto"/>
              <w:bottom w:val="single" w:sz="4" w:space="0" w:color="auto"/>
              <w:right w:val="single" w:sz="4" w:space="0" w:color="auto"/>
            </w:tcBorders>
            <w:noWrap/>
            <w:vAlign w:val="center"/>
          </w:tcPr>
          <w:p>
            <w:pPr>
              <w:widowControl/>
              <w:spacing w:line="240" w:lineRule="auto"/>
              <w:jc w:val="center"/>
              <w:rPr>
                <w:sz w:val="21"/>
              </w:rPr>
            </w:pPr>
            <w:r>
              <w:rPr>
                <w:sz w:val="21"/>
              </w:rPr>
              <w:t>5</w:t>
            </w:r>
          </w:p>
        </w:tc>
        <w:tc>
          <w:tcPr>
            <w:tcW w:w="1134" w:type="dxa"/>
            <w:tcBorders>
              <w:top w:val="single" w:sz="4" w:space="0" w:color="auto"/>
              <w:left w:val="single" w:sz="4" w:space="0" w:color="auto"/>
              <w:bottom w:val="single" w:sz="4" w:space="0" w:color="auto"/>
              <w:right w:val="single" w:sz="4" w:space="0" w:color="auto"/>
            </w:tcBorders>
            <w:noWrap/>
            <w:vAlign w:val="center"/>
          </w:tcPr>
          <w:p>
            <w:pPr>
              <w:widowControl/>
              <w:spacing w:line="240" w:lineRule="auto"/>
              <w:jc w:val="center"/>
              <w:rPr>
                <w:sz w:val="21"/>
              </w:rPr>
            </w:pPr>
            <w:r>
              <w:rPr>
                <w:sz w:val="21"/>
              </w:rPr>
              <w:t>文旅局</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spacing w:line="240" w:lineRule="auto"/>
              <w:jc w:val="center"/>
              <w:rPr>
                <w:sz w:val="21"/>
              </w:rPr>
            </w:pPr>
            <w:r>
              <w:rPr>
                <w:sz w:val="21"/>
              </w:rPr>
              <w:t>达标</w:t>
            </w:r>
          </w:p>
        </w:tc>
      </w:tr>
    </w:tbl>
    <w:p>
      <w:pPr>
        <w:spacing w:line="240" w:lineRule="auto"/>
        <w:ind w:firstLineChars="200" w:firstLine="420"/>
        <w:rPr>
          <w:sz w:val="21"/>
        </w:rPr>
      </w:pPr>
      <w:bookmarkStart w:id="90" w:name="_Hlk43215131"/>
      <w:r>
        <w:rPr>
          <w:sz w:val="21"/>
        </w:rPr>
        <w:t>注：</w:t>
      </w:r>
      <w:bookmarkEnd w:id="90"/>
      <w:r>
        <w:rPr>
          <w:sz w:val="21"/>
        </w:rPr>
        <w:t>*为特色指标。</w:t>
      </w:r>
    </w:p>
    <w:p>
      <w:pPr>
        <w:spacing w:line="240" w:lineRule="auto"/>
        <w:ind w:firstLineChars="200" w:firstLine="420"/>
        <w:rPr>
          <w:sz w:val="21"/>
        </w:rPr>
        <w:sectPr>
          <w:pgSz w:w="16838" w:h="11906" w:orient="landscape"/>
          <w:pgMar w:top="1800" w:right="1440" w:bottom="1800" w:left="1440" w:header="851" w:footer="992" w:gutter="0"/>
          <w:docGrid w:type="lines" w:linePitch="381" w:charSpace="0"/>
        </w:sectPr>
      </w:pPr>
      <w:bookmarkStart w:id="91" w:name="_Hlk107987261"/>
      <w:bookmarkStart w:id="92" w:name="_Hlk106746150"/>
      <w:bookmarkEnd w:id="88"/>
      <w:bookmarkEnd w:id="89"/>
    </w:p>
    <w:p>
      <w:pPr>
        <w:pStyle w:val="39"/>
        <w:spacing w:line="560" w:lineRule="exact"/>
      </w:pPr>
      <w:bookmarkStart w:id="93" w:name="_Toc156576384"/>
      <w:bookmarkStart w:id="94" w:name="_Hlk24030902"/>
      <w:bookmarkEnd w:id="91"/>
      <w:bookmarkEnd w:id="92"/>
      <w:r>
        <w:t>加快制度创新，健全体制机制</w:t>
      </w:r>
      <w:bookmarkEnd w:id="93"/>
    </w:p>
    <w:p>
      <w:pPr>
        <w:pStyle w:val="15"/>
        <w:numPr>
          <w:ilvl w:val="0"/>
          <w:numId w:val="3"/>
        </w:numPr>
        <w:spacing w:line="560" w:lineRule="exact"/>
        <w:jc w:val="center"/>
      </w:pPr>
      <w:bookmarkStart w:id="95" w:name="_Toc156576385"/>
      <w:r>
        <w:t>健全生态文明建设责任体系</w:t>
      </w:r>
      <w:bookmarkEnd w:id="95"/>
    </w:p>
    <w:p>
      <w:pPr>
        <w:pStyle w:val="40"/>
      </w:pPr>
      <w:bookmarkStart w:id="96" w:name="_Hlk91487871"/>
      <w:bookmarkStart w:id="97" w:name="_Toc156576386"/>
      <w:bookmarkStart w:id="98" w:name="_Toc117683663"/>
      <w:bookmarkStart w:id="99" w:name="_Toc154688907"/>
      <w:r>
        <w:t>一、完善生态文明建设考核制度</w:t>
      </w:r>
      <w:bookmarkEnd w:id="96"/>
      <w:bookmarkEnd w:id="97"/>
      <w:bookmarkEnd w:id="98"/>
      <w:bookmarkEnd w:id="99"/>
    </w:p>
    <w:p>
      <w:pPr>
        <w:spacing w:line="560" w:lineRule="exact"/>
        <w:ind w:firstLine="562"/>
        <w:rPr>
          <w:b/>
          <w:bCs/>
        </w:rPr>
      </w:pPr>
      <w:bookmarkStart w:id="100" w:name="_Hlk91578253"/>
      <w:r>
        <w:t>强化党政主导责任，压实部门主管责任。明确各相关部门在生态文明工作中的职责和权限，将生态环境质量“只能更好、不能变坏”作为各级政府的环保责任红线。强化领导干部生态文明建设考核，将资源消耗、环境损害、生态效益、应对气候变化指标全面纳入党委政府考核评价体系，强化绿色经济和生态环境考核指标在领导干部履职实绩考核中的权重。同时探索将考核结果作为区域资金投入、项目审批和政策扶持的参考依据，以</w:t>
      </w:r>
      <w:bookmarkStart w:id="101" w:name="_Hlk91513515"/>
      <w:r>
        <w:t>街道</w:t>
      </w:r>
      <w:bookmarkEnd w:id="101"/>
      <w:r>
        <w:t>为单位，用考核奖惩机制激励引导生态文明建设工作开展，考核结果纳入各级党委、政府及领导干部的政绩考核内容。规划期内，全面实施《南京市雨花台区生态文明建设规划（2023-2030年）》。</w:t>
      </w:r>
      <w:bookmarkEnd w:id="100"/>
    </w:p>
    <w:p>
      <w:pPr>
        <w:pStyle w:val="40"/>
      </w:pPr>
      <w:bookmarkStart w:id="102" w:name="_Toc154688908"/>
      <w:bookmarkStart w:id="103" w:name="_Toc156576387"/>
      <w:bookmarkStart w:id="104" w:name="_Toc117683664"/>
      <w:r>
        <w:t>二、建立健全领导干部离任审计制度</w:t>
      </w:r>
      <w:bookmarkEnd w:id="102"/>
      <w:bookmarkEnd w:id="103"/>
      <w:bookmarkEnd w:id="104"/>
    </w:p>
    <w:p>
      <w:pPr>
        <w:spacing w:line="560" w:lineRule="exact"/>
        <w:ind w:firstLineChars="200" w:firstLine="560"/>
        <w:rPr>
          <w:szCs w:val="28"/>
        </w:rPr>
      </w:pPr>
      <w:r>
        <w:rPr>
          <w:szCs w:val="28"/>
        </w:rPr>
        <w:t>健全雨花台区领导干部自然资源资产离任审计联席制度，完善多部门单位共同参与、共同推进的工作机制；建立健全领导干部自然资源资产离任审计整改督查机制和协作配合机制；领导干部自然资源资产离任审计的审计评价结果作为领导干部考核、任免、奖惩的重要依据。</w:t>
      </w:r>
    </w:p>
    <w:p>
      <w:pPr>
        <w:pStyle w:val="40"/>
      </w:pPr>
      <w:bookmarkStart w:id="105" w:name="_Toc154688909"/>
      <w:bookmarkStart w:id="106" w:name="_Toc117683665"/>
      <w:bookmarkStart w:id="107" w:name="_Toc156576388"/>
      <w:r>
        <w:t>三、严格落实生态环境损害赔偿和责任追究制度</w:t>
      </w:r>
      <w:bookmarkEnd w:id="105"/>
      <w:bookmarkEnd w:id="106"/>
      <w:bookmarkEnd w:id="107"/>
    </w:p>
    <w:p>
      <w:pPr>
        <w:spacing w:line="560" w:lineRule="exact"/>
        <w:ind w:firstLineChars="200" w:firstLine="560"/>
        <w:rPr>
          <w:szCs w:val="28"/>
        </w:rPr>
      </w:pPr>
      <w:r>
        <w:rPr>
          <w:szCs w:val="28"/>
        </w:rPr>
        <w:t>建立健全生态环境损害赔偿机制，明确生态环境损害赔偿范围、责任主体、索赔主体和损害赔偿解决途径，推动案例实践，让造成生态环境损害的单位或个人承担损害赔偿责任，做到应赔尽赔。建立环境损害鉴定评估机制，将生态环境损害赔偿磋商与司法紧密衔接，推进环境资源民事、刑事、行政案件“三审合一”。全面落实《党政领导干部生态环境损害责任追究办法（试行）》《江苏省党政领导干部生态环境损害责任追究实施细则》</w:t>
      </w:r>
      <w:r>
        <w:t>《江苏省生态环境保护工作责任规定（试行）》</w:t>
      </w:r>
      <w:r>
        <w:rPr>
          <w:szCs w:val="28"/>
        </w:rPr>
        <w:t>，严格落实党政同责、一岗双责、终身追责。完善生态环境保护责任规定，建立管发展必须管环保、管生产必须管环保、管行业必须管环保的生态环境保护工作责任体系。</w:t>
      </w:r>
    </w:p>
    <w:p>
      <w:pPr>
        <w:pStyle w:val="40"/>
      </w:pPr>
      <w:bookmarkStart w:id="108" w:name="_Toc154688910"/>
      <w:bookmarkStart w:id="109" w:name="_Toc117683666"/>
      <w:bookmarkStart w:id="110" w:name="_Toc156576389"/>
      <w:r>
        <w:t>四、严格执行生态环境保护督查督政制度</w:t>
      </w:r>
      <w:bookmarkEnd w:id="108"/>
      <w:bookmarkEnd w:id="109"/>
      <w:bookmarkEnd w:id="110"/>
    </w:p>
    <w:p>
      <w:pPr>
        <w:spacing w:line="560" w:lineRule="exact"/>
        <w:ind w:firstLineChars="200" w:firstLine="560"/>
        <w:rPr>
          <w:szCs w:val="28"/>
        </w:rPr>
      </w:pPr>
      <w:r>
        <w:rPr>
          <w:szCs w:val="28"/>
        </w:rPr>
        <w:t>落实中央、省级环境保护督察制度，建立健全环境违法行为发现处置机制，完善排查、交办、核查、约谈、专项督察“五步法”工作模式，严格督察整改。加强督察问责、督察督办、台账建立、核查验收、尽责免责等相关配套制度规定和实施办法制定落实。加大重点问题、重点区域督察力度，以暗访督察、随机抽查、交叉检查、有奖举报等方式及时发现问题。重点围绕超标排放、偷排漏排、防治措施不到位等环境违规违法问题，实行销号办结制，限期整改，动态监管，实现督查督办常态长效。对落实不及时、措施不到位、工作不彻底的单位和个人，严肃追责，确保有力推动重点工作落实。</w:t>
      </w:r>
    </w:p>
    <w:p>
      <w:pPr>
        <w:pStyle w:val="15"/>
        <w:numPr>
          <w:ilvl w:val="0"/>
          <w:numId w:val="3"/>
        </w:numPr>
        <w:spacing w:line="560" w:lineRule="exact"/>
        <w:jc w:val="center"/>
      </w:pPr>
      <w:bookmarkStart w:id="111" w:name="_Toc156576390"/>
      <w:r>
        <w:t>建立健全资源高效利用制度</w:t>
      </w:r>
      <w:bookmarkEnd w:id="111"/>
    </w:p>
    <w:p>
      <w:pPr>
        <w:pStyle w:val="40"/>
      </w:pPr>
      <w:bookmarkStart w:id="112" w:name="_Toc156576391"/>
      <w:bookmarkStart w:id="113" w:name="_Toc117683668"/>
      <w:bookmarkStart w:id="114" w:name="_Toc154688912"/>
      <w:r>
        <w:t>一、建立能源消费总量管理和节约制度</w:t>
      </w:r>
      <w:bookmarkEnd w:id="112"/>
      <w:bookmarkEnd w:id="113"/>
      <w:bookmarkEnd w:id="114"/>
    </w:p>
    <w:p>
      <w:pPr>
        <w:spacing w:line="560" w:lineRule="exact"/>
        <w:ind w:firstLineChars="200" w:firstLine="560"/>
      </w:pPr>
      <w:r>
        <w:t>落实能源消耗总量和强度“双控”制度。坚持节约优先，提升能源利用效率，确保完成南京市下达的节能目标任务。完善节能标准体系，及时根据国家用能产品能效、高耗能行业能耗限额、建筑物能效等标准更新管理。积极推进各领域节材工作，加强原材料消耗管理，加大替代性材料、可再生材料推广力度。探索“绿能”抵耗。</w:t>
      </w:r>
      <w:r>
        <w:rPr>
          <w:szCs w:val="28"/>
        </w:rPr>
        <w:t>强化重点用能单位节能管理，推进重点用能单位能源管理体系建设。建立健全碳排放总量控制制度，实施低碳产品标准、标识和认证制度。</w:t>
      </w:r>
    </w:p>
    <w:p>
      <w:pPr>
        <w:pStyle w:val="40"/>
      </w:pPr>
      <w:bookmarkStart w:id="115" w:name="_Toc156576392"/>
      <w:bookmarkStart w:id="116" w:name="_Toc117683669"/>
      <w:bookmarkStart w:id="117" w:name="_Toc154688913"/>
      <w:r>
        <w:t>二、落实最严格的水资源管理制度</w:t>
      </w:r>
      <w:bookmarkEnd w:id="115"/>
      <w:bookmarkEnd w:id="116"/>
      <w:bookmarkEnd w:id="117"/>
    </w:p>
    <w:p>
      <w:pPr>
        <w:spacing w:line="560" w:lineRule="exact"/>
        <w:ind w:firstLineChars="200" w:firstLine="560"/>
        <w:rPr>
          <w:szCs w:val="28"/>
        </w:rPr>
      </w:pPr>
      <w:r>
        <w:rPr>
          <w:szCs w:val="28"/>
        </w:rPr>
        <w:t>认真贯彻落实《江苏省人民政府关于实行最严格水资源管理制度的实施意见》（苏政发〔2012〕27号），配合南京市完成水资源、水环境承载力现状评价。制定并实施城市节约用水实施方案，实施区域取用水总量控制。对已达到或超过控制指标的地区，暂停审批其建设项目新增取水许可。严格实施取水许可制度，对纳入取水许可管理的单位和其他用水大户实行计划用水管理，建立重点监控用水单位名录。</w:t>
      </w:r>
    </w:p>
    <w:p>
      <w:pPr>
        <w:pStyle w:val="40"/>
      </w:pPr>
      <w:bookmarkStart w:id="118" w:name="_Toc117683670"/>
      <w:bookmarkStart w:id="119" w:name="_Toc156576393"/>
      <w:bookmarkStart w:id="120" w:name="_Toc154688914"/>
      <w:r>
        <w:t>三、实行最严格的土地节约集约制度</w:t>
      </w:r>
      <w:bookmarkEnd w:id="118"/>
      <w:bookmarkEnd w:id="119"/>
      <w:bookmarkEnd w:id="120"/>
    </w:p>
    <w:p>
      <w:pPr>
        <w:spacing w:line="560" w:lineRule="exact"/>
        <w:ind w:firstLineChars="200" w:firstLine="560"/>
        <w:rPr>
          <w:szCs w:val="28"/>
        </w:rPr>
      </w:pPr>
      <w:r>
        <w:rPr>
          <w:szCs w:val="28"/>
        </w:rPr>
        <w:t>实施建设用地总量控制和减量化管理，建立节约集约用地激励和约束机制，调整结构，盘活存量，合理安排土地利用年度计划。盘活利用存量土地，加快存量土地“二次开发”，加强项目用地的跟踪巡查和监管，提高土地开发强度和质量，提高土地资源节约利用水平。加大对闲置用地、低效用地和批而未供用地的处置力度，提升土地产出率。加大土地整治力度，加强散乱、闲置、废弃建设用地整理，提高建设用地利用效率。</w:t>
      </w:r>
    </w:p>
    <w:p>
      <w:pPr>
        <w:pStyle w:val="40"/>
      </w:pPr>
      <w:bookmarkStart w:id="121" w:name="_Toc154688915"/>
      <w:bookmarkStart w:id="122" w:name="_Toc156576394"/>
      <w:bookmarkStart w:id="123" w:name="_Toc117683671"/>
      <w:r>
        <w:t>四、建立健全自然资源资产产权制度</w:t>
      </w:r>
      <w:bookmarkEnd w:id="121"/>
      <w:bookmarkEnd w:id="122"/>
      <w:bookmarkEnd w:id="123"/>
    </w:p>
    <w:p>
      <w:pPr>
        <w:spacing w:line="560" w:lineRule="exact"/>
        <w:ind w:firstLineChars="200" w:firstLine="560"/>
        <w:rPr>
          <w:szCs w:val="28"/>
        </w:rPr>
      </w:pPr>
      <w:r>
        <w:rPr>
          <w:szCs w:val="28"/>
        </w:rPr>
        <w:t>以自然资源多种属性以及国民经济和社会发展需求为基础，与国土空间规划和用途管制相衔接，对区内湖泊、河流等自然生态空间进行统一确权登记，形成归属清晰、权责明确、监管有效的自然资源资产产权制度，推进自然生态空间用途管制。研究建立自然资源资产核算评价制度，编制雨花台区自然资源资产负债表，并加强核算结果在领导干部自然资源资产离任审计中的应用。建立自然资源动态监测制度，及时跟踪掌握各类自然资源变化情况。完善自然资源资产督察执法体制，加强督察执法队伍建设，严肃查处自然资源资产产权领域重大违法案件。</w:t>
      </w:r>
    </w:p>
    <w:p>
      <w:pPr>
        <w:pStyle w:val="15"/>
        <w:numPr>
          <w:ilvl w:val="0"/>
          <w:numId w:val="3"/>
        </w:numPr>
        <w:spacing w:line="560" w:lineRule="exact"/>
        <w:jc w:val="center"/>
      </w:pPr>
      <w:bookmarkStart w:id="124" w:name="_Toc156576395"/>
      <w:r>
        <w:t>完善生态保护和修复制度</w:t>
      </w:r>
      <w:bookmarkEnd w:id="124"/>
    </w:p>
    <w:p>
      <w:pPr>
        <w:pStyle w:val="40"/>
      </w:pPr>
      <w:bookmarkStart w:id="125" w:name="_Toc154688917"/>
      <w:bookmarkStart w:id="126" w:name="_Toc156576396"/>
      <w:r>
        <w:t>一、完善自然资源资产产权和管理制度</w:t>
      </w:r>
      <w:bookmarkEnd w:id="125"/>
      <w:bookmarkEnd w:id="126"/>
    </w:p>
    <w:p>
      <w:pPr>
        <w:spacing w:line="560" w:lineRule="exact"/>
        <w:ind w:firstLineChars="200" w:firstLine="560"/>
      </w:pPr>
      <w:r>
        <w:rPr>
          <w:b/>
        </w:rPr>
        <w:t>健全自然资源确权登记制度。</w:t>
      </w:r>
      <w:r>
        <w:t>以生态产品确权工作为重点，按照健全自然资源确权登记制度的规范要求，统筹推进全区范围内自然资源资产统一确权登记，清晰界定自然资源资产产权主体，划清所有权和使用权边界，实现自然资源资产确权登记全覆盖。</w:t>
      </w:r>
    </w:p>
    <w:p>
      <w:pPr>
        <w:spacing w:line="560" w:lineRule="exact"/>
        <w:ind w:firstLineChars="200" w:firstLine="560"/>
      </w:pPr>
      <w:r>
        <w:rPr>
          <w:b/>
          <w:bCs/>
        </w:rPr>
        <w:t>建立自然资源登记信息库。</w:t>
      </w:r>
      <w:r>
        <w:t>加快推进自然资源（含生态产品）登记信息统一管理，建立登记信息数据库，实现便捷化信息共享，丰富自然资源资产使用权类型，合理界定出让、转让、出租、抵押、入股等权责归属，依托自然资源统一确权登记明确生态产品权责归属。信息库重点列出雨花台区自然资源领域生态产品信息数据，实现生态产品信息化管理，为生态产品价值实现和产业化开发提供数据支撑。</w:t>
      </w:r>
    </w:p>
    <w:p>
      <w:pPr>
        <w:spacing w:line="560" w:lineRule="exact"/>
        <w:ind w:firstLineChars="200" w:firstLine="560"/>
      </w:pPr>
      <w:r>
        <w:rPr>
          <w:b/>
          <w:bCs/>
        </w:rPr>
        <w:t>制定生态产品涉及的自然资源资产保护管理权责制度。</w:t>
      </w:r>
      <w:r>
        <w:t>统筹衔接国土空间规划、生态保护红线等保护要求，明确生态产品涉及的自然资源资产保护管理权责要求，形成服务于生态产品价值实现的制度保障，构建高效有力、切实可行的生态产品以及自然资源资产保护支撑架构。</w:t>
      </w:r>
    </w:p>
    <w:p>
      <w:pPr>
        <w:spacing w:line="560" w:lineRule="exact"/>
        <w:ind w:firstLineChars="200" w:firstLine="560"/>
      </w:pPr>
      <w:r>
        <w:rPr>
          <w:rFonts w:hint="eastAsia"/>
          <w:b/>
          <w:bCs/>
        </w:rPr>
        <w:t>建立生态产品信息普查监测机制。</w:t>
      </w:r>
      <w:r>
        <w:rPr>
          <w:rFonts w:hint="eastAsia"/>
        </w:rPr>
        <w:t>基于现有自然资源和生态环境调查监测体系，运用“网格化”“星地一体化”“三维化”等手段，开展生态产品基础信息调查监测，逐步实现生态产品信息调查的全类别、全范围覆盖，摸清各类生态产品数量、质量等底数。配合南京市探索统一生态产品调查监测标准，推进规划资源、生态环境、水务、农业农村、气象等部门相关调查监测数据实现互通共享，逐步构建全区生态产品目录清单。配合南京市建立生态产品动态监测制度，以及探索建设开放共享的生态产品信息云平台。</w:t>
      </w:r>
    </w:p>
    <w:p>
      <w:pPr>
        <w:pStyle w:val="40"/>
      </w:pPr>
      <w:bookmarkStart w:id="127" w:name="_Toc156576397"/>
      <w:bookmarkStart w:id="128" w:name="_Toc154688918"/>
      <w:bookmarkStart w:id="129" w:name="_Toc117683674"/>
      <w:r>
        <w:t>二、探索生态产品价值实现机制</w:t>
      </w:r>
      <w:bookmarkEnd w:id="127"/>
      <w:bookmarkEnd w:id="128"/>
      <w:bookmarkEnd w:id="129"/>
    </w:p>
    <w:p>
      <w:pPr>
        <w:spacing w:line="560" w:lineRule="exact"/>
        <w:ind w:firstLineChars="200" w:firstLine="560"/>
        <w:rPr>
          <w:szCs w:val="28"/>
        </w:rPr>
      </w:pPr>
      <w:r>
        <w:rPr>
          <w:rFonts w:hint="eastAsia"/>
          <w:b/>
          <w:bCs/>
          <w:szCs w:val="28"/>
        </w:rPr>
        <w:t>配合建立生态产品价值核算体系。</w:t>
      </w:r>
      <w:r>
        <w:rPr>
          <w:rFonts w:hint="eastAsia"/>
          <w:szCs w:val="28"/>
        </w:rPr>
        <w:t>在《生态产品总值核算规范（试行）》（发改基础〔2022〕481号）基础上，针对生态产品价值实现的不同路径，配合南京市构建行政区域单元生态产品总值和特定地域单元生态产品价值评价体系，积极探索开展特定地域单元生态产品价值核算工作。总结推广高淳区生态产品总值核算经验，开展雨花台区单元生态产品总值核算。探索将生态产品价值核算基础数据纳入国民经济核算体系。积极探索开展特定地域单元生态产品价值核算工作。</w:t>
      </w:r>
    </w:p>
    <w:p>
      <w:pPr>
        <w:spacing w:line="560" w:lineRule="exact"/>
        <w:ind w:firstLineChars="200" w:firstLine="560"/>
        <w:rPr>
          <w:szCs w:val="28"/>
        </w:rPr>
      </w:pPr>
      <w:r>
        <w:rPr>
          <w:rFonts w:hint="eastAsia"/>
          <w:b/>
          <w:bCs/>
          <w:szCs w:val="28"/>
        </w:rPr>
        <w:t>推动生态产品价值核算结果应用。</w:t>
      </w:r>
      <w:r>
        <w:rPr>
          <w:rFonts w:hint="eastAsia"/>
          <w:szCs w:val="28"/>
        </w:rPr>
        <w:t>积极探索生态产品价值核算结果应用场景，以核算结果应用促进自然生态保护修复和合理利用。探索推进生态产品价值核算结果在政府决策和绩效考核、项目评价、生态保护补偿、生态环境损害赔偿等方面的应用。推动生态产品价值核算结果在市场层面的应用，探索将核算结果应用于生态资产权益抵押贷款、资产证券化、债券等多元化融资工具，激活生态产品金融属性，打通“生态+金融”通道。鼓励打造特色鲜明的生态产品区域公用品牌，将各类生态产品纳入品牌范围，加强品牌培育和保护</w:t>
      </w:r>
      <w:r>
        <w:rPr>
          <w:szCs w:val="28"/>
        </w:rPr>
        <w:t>。</w:t>
      </w:r>
    </w:p>
    <w:p>
      <w:pPr>
        <w:pStyle w:val="40"/>
      </w:pPr>
      <w:bookmarkStart w:id="130" w:name="_Toc117683675"/>
      <w:bookmarkStart w:id="131" w:name="_Toc154688919"/>
      <w:bookmarkStart w:id="132" w:name="_Toc156576398"/>
      <w:r>
        <w:t>三、完善生态保护补偿制度</w:t>
      </w:r>
      <w:bookmarkEnd w:id="130"/>
      <w:bookmarkEnd w:id="131"/>
      <w:bookmarkEnd w:id="132"/>
    </w:p>
    <w:p>
      <w:pPr>
        <w:spacing w:line="560" w:lineRule="exact"/>
        <w:ind w:firstLineChars="200" w:firstLine="560"/>
        <w:rPr>
          <w:szCs w:val="28"/>
        </w:rPr>
      </w:pPr>
      <w:r>
        <w:rPr>
          <w:rFonts w:hint="eastAsia"/>
          <w:szCs w:val="28"/>
        </w:rPr>
        <w:t>研究建立重点领域生态补偿标准体系，探索多样化的生态补偿方法、模式。完善生态空间管控区域生态补偿转移支付机制，积极向上争取省级生态补偿转移支付资金，加大财政对生态保护红线区域和生态空间管控区域的支持和补偿力度。探索将生态产品价值核算结果等因素纳入生态补偿考核内容。加强跨行政区域的流域上下游“双向补偿”，探索建立资金补助、对口协作、产业转移、人才培训、共建园区等多方式组合的横向生态补偿机制。建立稳定的生态保护补偿资金投入机制，合理提高补偿标准。积极运用排污权交易、碳排放交易、水权交易等补偿方式，探索市场化补偿模式，拓宽资金渠道。</w:t>
      </w:r>
    </w:p>
    <w:p>
      <w:pPr>
        <w:pStyle w:val="40"/>
      </w:pPr>
      <w:bookmarkStart w:id="133" w:name="_Toc117683676"/>
      <w:bookmarkStart w:id="134" w:name="_Toc156576399"/>
      <w:bookmarkStart w:id="135" w:name="_Toc154688920"/>
      <w:r>
        <w:t>四、深化落实河湖长制</w:t>
      </w:r>
      <w:bookmarkEnd w:id="133"/>
      <w:bookmarkEnd w:id="134"/>
      <w:bookmarkEnd w:id="135"/>
    </w:p>
    <w:p>
      <w:pPr>
        <w:spacing w:line="560" w:lineRule="exact"/>
        <w:ind w:firstLineChars="200" w:firstLine="560"/>
        <w:rPr>
          <w:szCs w:val="28"/>
        </w:rPr>
      </w:pPr>
      <w:r>
        <w:rPr>
          <w:szCs w:val="28"/>
        </w:rPr>
        <w:t>完善协调联动机制，定期召开河长会议、部门联席会议等，强化各地各部门之间的横向联系。建立全覆盖的河湖长制督查体系，以务实管用高效为目标，明查暗访相结合，及时准确掌握河长湖长履职情况。壮大河长和社会监督员队伍，积极引入河长制、湖长制工作第三方评估，充分发挥社会力量对河湖长制的监督作用。优化河湖长制考核方案，重点突出河湖长制落实情况，分河段进行电子化考核评分，推动河湖长制工作从“全面建立”向“全面见效”转变。</w:t>
      </w:r>
    </w:p>
    <w:p>
      <w:pPr>
        <w:pStyle w:val="40"/>
      </w:pPr>
      <w:bookmarkStart w:id="136" w:name="_Toc156576400"/>
      <w:bookmarkStart w:id="137" w:name="_Toc117683677"/>
      <w:bookmarkStart w:id="138" w:name="_Toc154688921"/>
      <w:r>
        <w:t>五、建立健全林长制考核评价机制</w:t>
      </w:r>
      <w:bookmarkEnd w:id="136"/>
      <w:bookmarkEnd w:id="137"/>
      <w:bookmarkEnd w:id="138"/>
    </w:p>
    <w:p>
      <w:pPr>
        <w:spacing w:line="560" w:lineRule="exact"/>
        <w:ind w:firstLineChars="200" w:firstLine="560"/>
        <w:rPr>
          <w:szCs w:val="28"/>
        </w:rPr>
      </w:pPr>
      <w:r>
        <w:rPr>
          <w:szCs w:val="28"/>
        </w:rPr>
        <w:t>建立常态化“林长制”考核评价机制，制定考核奖惩办法，形成源头严防、过程严管、损害严惩，失职必究的分级治理考核体系。明确各级林长职责，层层压实责任，建立各驻区单位职能部门联动、齐抓共管的长效机制。</w:t>
      </w:r>
    </w:p>
    <w:p>
      <w:pPr>
        <w:pStyle w:val="15"/>
        <w:numPr>
          <w:ilvl w:val="0"/>
          <w:numId w:val="3"/>
        </w:numPr>
        <w:spacing w:line="560" w:lineRule="exact"/>
        <w:jc w:val="center"/>
      </w:pPr>
      <w:bookmarkStart w:id="139" w:name="_Toc156576401"/>
      <w:r>
        <w:t>健全生态环境源头防治体系</w:t>
      </w:r>
      <w:bookmarkEnd w:id="139"/>
    </w:p>
    <w:p>
      <w:pPr>
        <w:pStyle w:val="40"/>
      </w:pPr>
      <w:bookmarkStart w:id="140" w:name="_Toc117683679"/>
      <w:bookmarkStart w:id="141" w:name="_Toc154688923"/>
      <w:bookmarkStart w:id="142" w:name="_Toc156576402"/>
      <w:r>
        <w:t>一、强化生态环境承载力约束机制</w:t>
      </w:r>
      <w:bookmarkEnd w:id="140"/>
      <w:bookmarkEnd w:id="141"/>
      <w:bookmarkEnd w:id="142"/>
    </w:p>
    <w:p>
      <w:pPr>
        <w:spacing w:line="560" w:lineRule="exact"/>
        <w:ind w:firstLineChars="200" w:firstLine="560"/>
        <w:rPr>
          <w:szCs w:val="28"/>
        </w:rPr>
      </w:pPr>
      <w:r>
        <w:rPr>
          <w:szCs w:val="28"/>
        </w:rPr>
        <w:t>依据南京市环境管控单元划分，严格落实“三线一单”生态环境分区管控要求，将环境管控单元作为系统集成各项生态环境管理要求的载体，坚决制止违反生态环境准入清单规定进行生产建设活动的行为。将“三线一单”作为政策制定、环境准入、园区管理、执法监管的重要依据，建立空间布局、项目准入的约束机制，为简政放权提供工具手段。建立动态更新、定期调整、跟踪评估等常态化工作机制，确保立足实际、因地制宜、与时俱进，不断优化调整“三线一单”成果，建立与新时代高质量发展和高水平保护相适应的生态环境分区管控体系。</w:t>
      </w:r>
    </w:p>
    <w:p>
      <w:pPr>
        <w:pStyle w:val="40"/>
      </w:pPr>
      <w:bookmarkStart w:id="143" w:name="_Toc117683680"/>
      <w:bookmarkStart w:id="144" w:name="_Toc156576403"/>
      <w:bookmarkStart w:id="145" w:name="_Toc154688924"/>
      <w:r>
        <w:t>二、严格执行环境影响评价制度</w:t>
      </w:r>
      <w:bookmarkEnd w:id="143"/>
      <w:bookmarkEnd w:id="144"/>
      <w:bookmarkEnd w:id="145"/>
    </w:p>
    <w:p>
      <w:pPr>
        <w:spacing w:line="560" w:lineRule="exact"/>
        <w:ind w:firstLineChars="200" w:firstLine="560"/>
      </w:pPr>
      <w:r>
        <w:t>健全以环评制度为主体的源头预防体系，强化建设项目环境影响评价与相关规划环境影响评价、现有项目环境保护管理、区域环境质量的“三挂钩”，推动落实接轨国际标准与技术前沿的“正面清单”和“负面清单”。探索开展绿色发展分类综合评价制度，落实差异化激励和约束政策措施。积极对组织编制的土地利用有关规划和区域、开发利用规划，以及工业、农业、林业、能源、城市建设、旅游等有关专项规划，进行环境影响评价。</w:t>
      </w:r>
    </w:p>
    <w:p>
      <w:pPr>
        <w:pStyle w:val="40"/>
      </w:pPr>
      <w:bookmarkStart w:id="146" w:name="_Toc117683681"/>
      <w:bookmarkStart w:id="147" w:name="_Toc154688925"/>
      <w:bookmarkStart w:id="148" w:name="_Toc156576404"/>
      <w:r>
        <w:t>三、实施排污许可全生命周期管理</w:t>
      </w:r>
      <w:bookmarkEnd w:id="146"/>
      <w:bookmarkEnd w:id="147"/>
      <w:bookmarkEnd w:id="148"/>
    </w:p>
    <w:p>
      <w:pPr>
        <w:spacing w:line="560" w:lineRule="exact"/>
        <w:ind w:firstLineChars="200" w:firstLine="560"/>
      </w:pPr>
      <w:r>
        <w:rPr>
          <w:szCs w:val="28"/>
        </w:rPr>
        <w:t>加强固定污染源深度治理，完善固定污染源“一证式”排污许可管理模式，全面实行持证排污。健全排污许可报告制度，推动排污许可审批与证后监管执法有机衔接，推动实施依证执法。加强排污许可与自行监测、环境统计等制度衔接，提高监测和统计数据质量，加大数据集成管理和应用。</w:t>
      </w:r>
      <w:r>
        <w:t>加强排污许可证后管理，持续做好排污许可证换证或登记延续动态更新，组织开展排污许可清理整顿“回头看”，建立排污许可质量控制长效机制。强化信息公开和社会监督，公布无证和不按证排污的企事业单位名单，并将其纳入企业环境行为信用评价。</w:t>
      </w:r>
    </w:p>
    <w:p>
      <w:pPr>
        <w:pStyle w:val="15"/>
        <w:numPr>
          <w:ilvl w:val="0"/>
          <w:numId w:val="3"/>
        </w:numPr>
        <w:spacing w:line="560" w:lineRule="exact"/>
        <w:jc w:val="center"/>
      </w:pPr>
      <w:bookmarkStart w:id="149" w:name="_Toc156576405"/>
      <w:bookmarkStart w:id="150" w:name="_Hlk91515503"/>
      <w:r>
        <w:t>推进环境治理体系和治理能力现代化</w:t>
      </w:r>
      <w:bookmarkEnd w:id="149"/>
    </w:p>
    <w:p>
      <w:pPr>
        <w:pStyle w:val="40"/>
      </w:pPr>
      <w:bookmarkStart w:id="151" w:name="_Toc154688927"/>
      <w:bookmarkStart w:id="152" w:name="_Toc156576406"/>
      <w:r>
        <w:t>一、构建现代化监测监控体系</w:t>
      </w:r>
      <w:bookmarkEnd w:id="151"/>
      <w:bookmarkEnd w:id="152"/>
    </w:p>
    <w:p>
      <w:pPr>
        <w:spacing w:line="560" w:lineRule="exact"/>
        <w:ind w:firstLine="562"/>
        <w:rPr>
          <w:bCs/>
        </w:rPr>
      </w:pPr>
      <w:r>
        <w:rPr>
          <w:b/>
        </w:rPr>
        <w:t>完善生态环境质量监测网络。</w:t>
      </w:r>
      <w:r>
        <w:rPr>
          <w:bCs/>
        </w:rPr>
        <w:t>加强自动化监测监控能力建设，以环境质量、重点污染源、生态环境状况监测监控全覆盖为目标，加大监测范围，加密监测点位。加强标准化监测监控能力建设，推动监测站的实验室标准化、执法监测标准化、应急监测标准化、核与辐射监测标准化等四项重点工作。加强对排污单位和各类生态环境监测机构监督管理，实施生态环境监测信用管理，定期开展生态环境监测质量监督检查专项行动，确保监测数据“真、准、全”，生态环境监测对生态环境管理和生态文明建设的支撑服务水平明显提升。</w:t>
        <w:tab/>
      </w:r>
    </w:p>
    <w:p>
      <w:pPr>
        <w:spacing w:line="560" w:lineRule="exact"/>
        <w:ind w:firstLine="562"/>
        <w:rPr>
          <w:bCs/>
        </w:rPr>
      </w:pPr>
      <w:r>
        <w:rPr>
          <w:b/>
        </w:rPr>
        <w:t>强化固定污染源监控。</w:t>
      </w:r>
      <w:r>
        <w:rPr>
          <w:bCs/>
        </w:rPr>
        <w:t>建立健全工业源监控网络以及以排污许可制为核心的固定源监测体系，加快行业VOCs监控网络建设，强化加油站周边土壤和地下水监测监控。加快构建“天地车人”一体化机动车排放监控系统，形成覆盖储油库、油品运输、加油站的油气回收在线监控网络。提升城市建设工地扬尘监控能力，实现对城市建设工地颗粒物的常态化自动监控。积极探索小型餐饮企业油烟治理模式，加快推进大中型餐饮企业安装在线监控设备。</w:t>
      </w:r>
    </w:p>
    <w:p>
      <w:pPr>
        <w:spacing w:line="560" w:lineRule="exact"/>
        <w:ind w:firstLine="562"/>
        <w:rPr>
          <w:bCs/>
        </w:rPr>
      </w:pPr>
      <w:r>
        <w:rPr>
          <w:b/>
        </w:rPr>
        <w:t>提升应急监测能力。</w:t>
      </w:r>
      <w:r>
        <w:rPr>
          <w:bCs/>
        </w:rPr>
        <w:t>强化执法监测的协同联动，深化污染源自动监测数据的执法应用。加快完善污染源自动监控超标数据快速发现、预警督办、查处整改闭环监管机制，实现监控系统数据异常远程取证，智能识别上传异常时段监控视频。建立应对突发性污染事故的应急监测工作组，编制应急监测预案，建立应急监测制度，提高应急环境监测仪器设备配置，逐步形成高效有力的应急监测体系。重点完善突发性环境事件现场监测程序和对应实验室快速响应机制，探索建立适合应急监测工作特定的现场监测与实验分析质量控制体系。</w:t>
      </w:r>
    </w:p>
    <w:p>
      <w:pPr>
        <w:spacing w:line="560" w:lineRule="exact"/>
        <w:ind w:firstLine="562"/>
        <w:rPr>
          <w:bCs/>
        </w:rPr>
      </w:pPr>
      <w:r>
        <w:rPr>
          <w:b/>
        </w:rPr>
        <w:t>构建智慧高效监测监控体系。</w:t>
      </w:r>
      <w:r>
        <w:rPr>
          <w:bCs/>
        </w:rPr>
        <w:t>利用数字技术优势加快构建智慧高效的生态环境信息化体系，依托南京市生态环境智慧应用平台，实现多源数据共享应用、全区数据统一管理、“水气源+执法”集成应用以及多部门协同联动</w:t>
      </w:r>
      <w:r>
        <w:rPr>
          <w:rFonts w:hint="eastAsia"/>
          <w:bCs/>
        </w:rPr>
        <w:t>，推进非现场监管执法</w:t>
      </w:r>
      <w:r>
        <w:rPr>
          <w:bCs/>
        </w:rPr>
        <w:t>。配合南京市重点推进生态遥感能力建设，强化卫星、无人机遥感影像分析技术和生态地面监测的联动应用，提升遥感数据处理和制图能力，深化地理信息系统技术和生态保护红线监管平台应用，通过遥感技术与水、大气、土壤环境、生态质量监测的结合，建设大气组分网、光化学监测网预警预报系统，推动雨花全面融入南京市生态环境监测、预警预报、智慧监管“一体化”格局</w:t>
      </w:r>
      <w:r>
        <w:rPr>
          <w:rFonts w:hint="eastAsia"/>
          <w:bCs/>
        </w:rPr>
        <w:t>，全方位提升生态监测、碳监测、新污染物监测、农村环境监测及生物多样性观测能力。</w:t>
      </w:r>
    </w:p>
    <w:p>
      <w:pPr>
        <w:pStyle w:val="40"/>
      </w:pPr>
      <w:bookmarkStart w:id="153" w:name="_Toc154688928"/>
      <w:bookmarkStart w:id="154" w:name="_Toc156576407"/>
      <w:r>
        <w:t>二、健全环境治理监管体系</w:t>
      </w:r>
      <w:bookmarkEnd w:id="153"/>
      <w:bookmarkEnd w:id="154"/>
    </w:p>
    <w:p>
      <w:pPr>
        <w:spacing w:line="560" w:lineRule="exact"/>
        <w:ind w:firstLine="560"/>
        <w:rPr>
          <w:b/>
          <w:bCs/>
          <w:szCs w:val="28"/>
        </w:rPr>
      </w:pPr>
      <w:bookmarkEnd w:id="150"/>
      <w:r>
        <w:rPr>
          <w:b/>
          <w:bCs/>
          <w:szCs w:val="28"/>
        </w:rPr>
        <w:t>优化执法监管方式。</w:t>
      </w:r>
      <w:r>
        <w:rPr>
          <w:szCs w:val="28"/>
        </w:rPr>
        <w:t>深入推进“双随机、一公开”环境监管，加强执法与重点监管、信用监管的深度融合。进一步强化“543”工作法、现场执法“八步法”和行政执法“三项制度”，大力推行“水平衡”“废平衡”核算。建立完善“互联网+监管”制度，继续实施生态环境监督执法正面清单，动态管理。积极推进网格化环境监管机制建设，优化配置监管力量。积极推广运用污染防治综合监管平台，落实“三线一单”，强化项目环评与规划环评、现有项目环境管理、区域环境质量联动的“三挂钩”机制。赋予街道生态环境行政检查权和部分监督管理权，将环境污染问题发现工作列入街道生态环境履职报告内容。积极开展以政府公共采购、人员聘用等方式委托具备环保专业素质的第三方机构辅助执法。提高执法人员装备水平，环境执法机构全部配备便携式手持移动执法终端。</w:t>
      </w:r>
    </w:p>
    <w:p>
      <w:pPr>
        <w:spacing w:line="560" w:lineRule="exact"/>
        <w:ind w:firstLine="560"/>
        <w:rPr>
          <w:b/>
          <w:bCs/>
          <w:szCs w:val="28"/>
        </w:rPr>
      </w:pPr>
      <w:r>
        <w:rPr>
          <w:b/>
          <w:bCs/>
          <w:szCs w:val="28"/>
        </w:rPr>
        <w:t>提升非现场执法能力。</w:t>
      </w:r>
      <w:r>
        <w:rPr>
          <w:szCs w:val="28"/>
        </w:rPr>
        <w:t>持续推进“互联网+执法”，加强无人机、无人船、走航车等现代执法手段应用。推行视频监控和环保设施用水、用电监控等物联网监管手段。深化污染源自动监测数据执法应用，实现污染源自动监控、视频监控、移动执法等数据及群众信访信息的整合研判。加快推广“环保脸谱”码应用，依托江苏“环保脸谱”管理系统，拓展地方政府、监管部门、企业、公众的交流互动机制。</w:t>
      </w:r>
    </w:p>
    <w:p>
      <w:pPr>
        <w:spacing w:line="560" w:lineRule="exact"/>
        <w:ind w:firstLine="560"/>
        <w:rPr>
          <w:b/>
          <w:bCs/>
          <w:szCs w:val="28"/>
        </w:rPr>
      </w:pPr>
      <w:r>
        <w:rPr>
          <w:b/>
          <w:bCs/>
          <w:szCs w:val="28"/>
        </w:rPr>
        <w:t>加强环境保护执法联动。</w:t>
      </w:r>
      <w:r>
        <w:rPr>
          <w:szCs w:val="28"/>
        </w:rPr>
        <w:t>建立生态环境、公安、法院、检察院等部门信息共享、案情通报、案件移动制度。完善环境执法与刑事司法衔接机制，进一步规范案件移送受理程序，提高侦办、起诉、判决效率，从快从严从重打击环境犯罪行为。加强环境污染刑事案件检测鉴定工作，加大检察机关提起生态环境公益诉讼工作力度，形成规范高效的“专业化司法监督+恢复性司法实践+社会化综合治理”审判结果执行机制。</w:t>
      </w:r>
    </w:p>
    <w:p>
      <w:pPr>
        <w:pStyle w:val="40"/>
      </w:pPr>
      <w:bookmarkStart w:id="155" w:name="_Toc156576408"/>
      <w:bookmarkStart w:id="156" w:name="_Toc154688929"/>
      <w:bookmarkStart w:id="157" w:name="_Toc117683685"/>
      <w:r>
        <w:t>三、强化生态环境保护与治理机制体制</w:t>
      </w:r>
      <w:bookmarkEnd w:id="155"/>
      <w:bookmarkEnd w:id="156"/>
      <w:bookmarkEnd w:id="157"/>
    </w:p>
    <w:p>
      <w:pPr>
        <w:spacing w:line="560" w:lineRule="exact"/>
        <w:ind w:firstLineChars="200" w:firstLine="560"/>
        <w:rPr>
          <w:szCs w:val="28"/>
        </w:rPr>
      </w:pPr>
      <w:r>
        <w:rPr>
          <w:b/>
          <w:bCs/>
          <w:szCs w:val="28"/>
        </w:rPr>
        <w:t>严格执行环境法规政策标准。</w:t>
      </w:r>
      <w:r>
        <w:rPr>
          <w:szCs w:val="28"/>
        </w:rPr>
        <w:t>积极宣传贯彻现行有效的环境质量标准、污染物排放标准、环境监测方法、环境管理规范、环境工程规范等标准。建立生态环境保护综合行政执法机关、公安机关、检察机关、审判机关信息共享、案情通报、案件移送制度，强化对破坏生态环境违法犯罪行为的查处侦办。</w:t>
      </w:r>
    </w:p>
    <w:p>
      <w:pPr>
        <w:spacing w:line="560" w:lineRule="exact"/>
        <w:ind w:firstLineChars="200" w:firstLine="560"/>
        <w:rPr>
          <w:szCs w:val="28"/>
        </w:rPr>
      </w:pPr>
      <w:r>
        <w:rPr>
          <w:b/>
          <w:bCs/>
          <w:szCs w:val="28"/>
        </w:rPr>
        <w:t>健全环境治理市场化机制。</w:t>
      </w:r>
      <w:r>
        <w:rPr>
          <w:szCs w:val="28"/>
        </w:rPr>
        <w:t>逐步扩大可由市场提供服务的环境管理领域，大力发展环境服务业，推动环境治理向“市场化、专业化、产业化”发展。推进环保设施建设和运营专业化、产业化发展，提高治污效率，提升环境治理水平。加强环境服务中介机构的监督管理，规范环境污染第三方经营行为，公开向社会公布第三方治理项目的治理信息，建立环境服务公司诚信档案。逐步将环境服务采购纳入政府采购范围，建立政府采购清单，探索研究财政资金优先支持政府采购环境服务的可行性，重点加强环境综合服务采购。</w:t>
      </w:r>
    </w:p>
    <w:p>
      <w:pPr>
        <w:spacing w:line="560" w:lineRule="exact"/>
        <w:ind w:firstLineChars="200" w:firstLine="560"/>
        <w:rPr>
          <w:szCs w:val="28"/>
        </w:rPr>
      </w:pPr>
      <w:r>
        <w:rPr>
          <w:b/>
          <w:bCs/>
        </w:rPr>
        <w:t>完善生态环境信用评价机制。</w:t>
      </w:r>
      <w:r>
        <w:t>落实《江苏省企事业环保信用评价办法》，对企事业单位实行“绿蓝黄红黑”环保信用五色管理，深化实施信用分级分类监管，有序扩大信用监管对象范围。开展生态环境第三方服务领域信用监管，落实信用信息互联共享机制。落实环保信任保护原则和豁免政策，完善守信激励与失信联合惩戒机制，开展环保示范性企事业单位和环境执法监督正面清单类企业评定，对守信企事业单位加大联合激励力度，积极推动守信宣传引导，取消失信企业环保事项申报及评定资格，加大检查和随机抽查频次，执行差别化水价、电价等惩戒措施。</w:t>
      </w:r>
    </w:p>
    <w:p>
      <w:pPr>
        <w:spacing w:line="560" w:lineRule="exact"/>
        <w:ind w:firstLineChars="200" w:firstLine="560"/>
        <w:rPr>
          <w:b/>
          <w:bCs/>
          <w:szCs w:val="28"/>
        </w:rPr>
      </w:pPr>
      <w:r>
        <w:rPr>
          <w:b/>
          <w:bCs/>
          <w:szCs w:val="28"/>
        </w:rPr>
        <w:t>创新生态环境治理模式。</w:t>
      </w:r>
      <w:r>
        <w:rPr>
          <w:szCs w:val="28"/>
        </w:rPr>
        <w:t>推进生态环境治理体系和治理能力现代化建设集成改革。完善企业治污正向激励机制，对高质量发展的企业、项目在环境资源要素指标上予以重点保障。聚焦环境治理关键领域，应用“政府补贴+第三方治理+税收优惠”联动机制，激励企业污染治理装备更新换代。</w:t>
      </w:r>
    </w:p>
    <w:p>
      <w:pPr>
        <w:pStyle w:val="40"/>
      </w:pPr>
      <w:bookmarkStart w:id="158" w:name="_Toc154688930"/>
      <w:bookmarkStart w:id="159" w:name="_Toc117683686"/>
      <w:bookmarkStart w:id="160" w:name="_Toc156576409"/>
      <w:r>
        <w:t>四、健全环境信息公开与社会参与制度</w:t>
      </w:r>
      <w:bookmarkEnd w:id="158"/>
      <w:bookmarkEnd w:id="159"/>
      <w:bookmarkEnd w:id="160"/>
    </w:p>
    <w:p>
      <w:pPr>
        <w:spacing w:line="560" w:lineRule="exact"/>
        <w:ind w:firstLineChars="200" w:firstLine="560"/>
      </w:pPr>
      <w:r>
        <w:rPr>
          <w:b/>
          <w:bCs/>
        </w:rPr>
        <w:t>强化环境监测信息公开。</w:t>
      </w:r>
      <w:r>
        <w:t>坚持对等共享原则，强化各类生态环境监测数据的集中规范化管理与共享利用，提升环境质量大数据分析能力，规范监测数据对外共享与应用。规范发布生态环境质量状况信息、重点污染源监测信息等重大生态环境信息，公布环境状况半年报和年度公报，定期公开空气质量、地表水国控断面和重点排污单位监督监测等信息，不断满足公众环境知情权、参与权、监督权。</w:t>
      </w:r>
    </w:p>
    <w:p>
      <w:pPr>
        <w:spacing w:line="560" w:lineRule="exact"/>
        <w:ind w:firstLineChars="200" w:firstLine="560"/>
        <w:rPr>
          <w:szCs w:val="28"/>
        </w:rPr>
      </w:pPr>
      <w:r>
        <w:rPr>
          <w:b/>
          <w:bCs/>
          <w:szCs w:val="28"/>
        </w:rPr>
        <w:t>完善建立政府与公众的良好沟通机制。</w:t>
      </w:r>
      <w:r>
        <w:rPr>
          <w:szCs w:val="28"/>
        </w:rPr>
        <w:t>开展公益监督、诉讼机制，畅通公众表达意见的渠道，保障公众参与权益。健全与公检法诉讼协调机制，探索便于环保行业协会和民间环保社会组织开展公益诉讼的可行途径，建立支持推动检察机关、社会组织提起环境公益诉讼的机制，以及支持公民向人民法院提请环境污染损害赔偿民事诉讼的机制。</w:t>
      </w:r>
    </w:p>
    <w:p>
      <w:pPr>
        <w:pStyle w:val="40"/>
      </w:pPr>
      <w:bookmarkStart w:id="161" w:name="_Toc154688931"/>
      <w:bookmarkStart w:id="162" w:name="_Toc156576410"/>
      <w:bookmarkStart w:id="163" w:name="_Toc117683687"/>
      <w:r>
        <w:t>五、完善服务高质量发展政策体系</w:t>
      </w:r>
      <w:bookmarkEnd w:id="161"/>
      <w:bookmarkEnd w:id="162"/>
      <w:bookmarkEnd w:id="163"/>
    </w:p>
    <w:p>
      <w:pPr>
        <w:pStyle w:val="45"/>
        <w:spacing w:line="560" w:lineRule="exact"/>
        <w:rPr>
          <w:rFonts w:eastAsia="方正仿宋_GBK"/>
        </w:rPr>
        <w:sectPr>
          <w:headerReference w:type="default" r:id="rId4"/>
          <w:pgSz w:w="11906" w:h="16838"/>
          <w:pgMar w:top="1440" w:right="1800" w:bottom="1440" w:left="1800" w:header="851" w:footer="992" w:gutter="0"/>
          <w:docGrid w:type="lines" w:linePitch="312" w:charSpace="0"/>
        </w:sectPr>
      </w:pPr>
      <w:r>
        <w:rPr>
          <w:rFonts w:eastAsia="方正仿宋_GBK"/>
        </w:rPr>
        <w:t>以改善环境质量为根本，牢牢守住“环境质量只能变好不能变差”这条底线，着力提升环境容量，助力项目顺利落地，实现破解污染防治难题与有效服务高质量发展共同推进。认真落实“放管服”改革要求，推进落实环评审批和监督执法“两个正面清单”，进一步简政放权，通过实行网上办、承诺办、优流程、不见面审批等措施，大幅压缩环评审批时限，持续推进简政便民工作，切实服务实体经济。对民生工程、战略性新兴产业和重大产业布局等项目，开通环评审批“绿色通道”，实行受理、公示、评估、审查“四同步”，加速项目落地建设。健全环保技术帮扶机制，完善豁免管理制度，对重大项目落实“一企一策”。</w:t>
      </w:r>
    </w:p>
    <w:p>
      <w:pPr>
        <w:pStyle w:val="39"/>
        <w:spacing w:beforeLines="0" w:before="190" w:afterLines="0" w:after="190" w:line="560" w:lineRule="exact"/>
      </w:pPr>
      <w:bookmarkStart w:id="164" w:name="_Toc156576411"/>
      <w:bookmarkStart w:id="165" w:name="_Toc74772998"/>
      <w:r>
        <w:t>深化污染治理，保障生态安全</w:t>
      </w:r>
      <w:bookmarkEnd w:id="164"/>
    </w:p>
    <w:p>
      <w:pPr>
        <w:pStyle w:val="15"/>
        <w:numPr>
          <w:ilvl w:val="0"/>
          <w:numId w:val="4"/>
        </w:numPr>
        <w:spacing w:line="560" w:lineRule="exact"/>
        <w:jc w:val="center"/>
      </w:pPr>
      <w:bookmarkStart w:id="166" w:name="_Toc156576412"/>
      <w:r>
        <w:t>加快推进碳达峰，积极应对气候变化</w:t>
      </w:r>
      <w:bookmarkEnd w:id="166"/>
    </w:p>
    <w:p>
      <w:pPr>
        <w:pStyle w:val="40"/>
      </w:pPr>
      <w:bookmarkStart w:id="167" w:name="_Toc154688934"/>
      <w:bookmarkStart w:id="168" w:name="_Toc156576413"/>
      <w:r>
        <w:t>一、开展二氧化碳排放达峰行动</w:t>
      </w:r>
      <w:bookmarkEnd w:id="167"/>
      <w:bookmarkEnd w:id="168"/>
    </w:p>
    <w:p>
      <w:pPr>
        <w:pStyle w:val="38"/>
        <w:spacing w:line="560" w:lineRule="exact"/>
      </w:pPr>
      <w:r>
        <w:rPr>
          <w:b/>
          <w:bCs/>
        </w:rPr>
        <w:t>落实碳达峰行动方案。</w:t>
      </w:r>
      <w:r>
        <w:t>贯彻落实《雨花台区碳达峰实施方案》，以钢铁和发电2个重点耗能行业为关键，以软件谷、南站片区、开发区和板桥南部4个重点片区低碳转型为引领，以能源、产业、建筑、交通等N个领域为重点，深入实施“碳达峰六大行动”。加强全区碳达峰工作的集中统一领导，加强达峰目标过程管理和激励督导。推进电力、钢铁、建材等重点行业提出明确的达峰目标并制定达峰行动方案，推动华润等大型国有企业制定二氧化碳排放达峰行动计划，开展碳达峰专项行动。</w:t>
      </w:r>
    </w:p>
    <w:p>
      <w:pPr>
        <w:pStyle w:val="38"/>
        <w:spacing w:line="560" w:lineRule="exact"/>
      </w:pPr>
      <w:r>
        <w:rPr>
          <w:b/>
          <w:bCs/>
        </w:rPr>
        <w:t>落实能耗和碳排放“双控”制度。</w:t>
      </w:r>
      <w:r>
        <w:t>落实区域和雨花经济开发区能耗和碳排放“双控”制度，推动区域、园区之间能耗“双控”和碳排放“双控”目标衔接，到2025年，雨花经济开发区实现区域能评和碳排放控制双覆盖。按照全市统一部署，落实以碳强度控制为主、碳排放总量控制为辅的综合评价考核制度。落实固定资产投资项目节能审查办法，建设雨花台区能碳一体化管理平台。</w:t>
      </w:r>
    </w:p>
    <w:p>
      <w:pPr>
        <w:pStyle w:val="38"/>
        <w:spacing w:line="560" w:lineRule="exact"/>
      </w:pPr>
      <w:r>
        <w:rPr>
          <w:b/>
          <w:bCs/>
        </w:rPr>
        <w:t>加强减污降碳协同增效。</w:t>
      </w:r>
      <w:r>
        <w:t>加强牛首山和将军山生态公益林等生态保护区保护工作，助力“三山两河”整体保护、系统修复和综合治理，持续推进岸线环境整治和长江生态修复。积极推进“一带、一楔、四廊、一环、六脉”绿廊系统建设，打造南京生态廊道综合利用示范项目。到2025年，完成108公里绿道规划建设，全区林木覆盖率达到31.5%。</w:t>
      </w:r>
    </w:p>
    <w:p>
      <w:pPr>
        <w:pStyle w:val="38"/>
        <w:spacing w:line="560" w:lineRule="exact"/>
        <w:rPr>
          <w:b/>
          <w:bCs/>
        </w:rPr>
      </w:pPr>
      <w:r>
        <w:rPr>
          <w:b/>
          <w:bCs/>
        </w:rPr>
        <w:t>深入开展低碳试点示范。</w:t>
      </w:r>
      <w:r>
        <w:t>积极配合省市开展零碳示范创建工作，探索建设一批“零碳小区”等试点；开展零碳社区改造试点，推动具备条件的公共建筑实施节能建筑技术改造试点，建设一批“零碳建筑”。以钢铁、电力等高耗能行业为重点，推动华润等企业开展节能减碳技术改造，培育一批碳达峰碳中和先行示范企业。</w:t>
      </w:r>
    </w:p>
    <w:p>
      <w:pPr>
        <w:pStyle w:val="40"/>
      </w:pPr>
      <w:bookmarkStart w:id="169" w:name="_Toc156576414"/>
      <w:bookmarkStart w:id="170" w:name="_Toc154688935"/>
      <w:r>
        <w:t>二、推动重点领域温室气体减排</w:t>
      </w:r>
      <w:bookmarkEnd w:id="169"/>
      <w:bookmarkEnd w:id="170"/>
    </w:p>
    <w:p>
      <w:pPr>
        <w:pStyle w:val="38"/>
        <w:spacing w:line="560" w:lineRule="exact"/>
      </w:pPr>
      <w:r>
        <w:rPr>
          <w:b/>
          <w:bCs/>
        </w:rPr>
        <w:t>强化重点耗能行业节能降碳。</w:t>
      </w:r>
      <w:r>
        <w:t>强化能耗强度刚性约束，加强重点用能单位管理，推动煤电节能降耗改造、灵活性改造、供热改造“三改联动”。落实高耗能行业能效对标达标行动，推行合同能源管理。严禁新增钢铁产能，合理控制粗钢产量规模。梅钢转型升级过渡期间，按照省市要求持续做好控煤工作，减少铁前炼焦流程，推动燃煤机组高效利用、现役煤电机组提质增效、到期燃煤机组关停。合理优化钢铁行业炉料结构，推动煤炭清洁高效利用。依托再生资源回收网络，完善废钢加工配送体系建设。</w:t>
      </w:r>
    </w:p>
    <w:p>
      <w:pPr>
        <w:pStyle w:val="38"/>
        <w:spacing w:line="560" w:lineRule="exact"/>
      </w:pPr>
      <w:r>
        <w:rPr>
          <w:b/>
          <w:bCs/>
        </w:rPr>
        <w:t>加强低碳交通运输体系建设。</w:t>
      </w:r>
      <w:r>
        <w:t>减少公路运输比例，提升铁路运输比例。鼓励铁路、港口、航运等企业加强合作，加快建设低碳高效的综合交通网络。加快推进轨道交通规划建设，优化公交线路，推动常规公共交通与城市轨道交通融合发展。发展慢行交通和共享交通，引导使用新能源汽车，加快新能源充电桩布局建设。</w:t>
      </w:r>
    </w:p>
    <w:p>
      <w:pPr>
        <w:pStyle w:val="38"/>
        <w:spacing w:line="560" w:lineRule="exact"/>
      </w:pPr>
      <w:r>
        <w:rPr>
          <w:b/>
          <w:bCs/>
        </w:rPr>
        <w:t>减少建筑领域二氧化碳排放</w:t>
      </w:r>
      <w:r>
        <w:rPr>
          <w:rFonts w:hint="eastAsia"/>
          <w:b/>
          <w:bCs/>
        </w:rPr>
        <w:t>。</w:t>
      </w:r>
      <w:r>
        <w:t>倡导绿色设计、推进绿色施工、推广绿色建材、引导绿色运维，探索零碳建筑建设。强化绿色建筑全过程管理，绿色施工技术全面应用，稳步发展装配式建筑，推进绿色建材产品认证和采信应用。因地制宜利用太阳能、地热能、生物质能等能源和热泵技术，推进分布式可再生能源和建筑一体化利用。到2025年，城镇新建居住建筑全面按超低能耗标准设计建造，城镇新建建筑执行绿色建筑标准比例达到100%。</w:t>
      </w:r>
    </w:p>
    <w:p>
      <w:pPr>
        <w:pStyle w:val="38"/>
        <w:spacing w:line="560" w:lineRule="exact"/>
        <w:rPr>
          <w:b/>
          <w:bCs/>
        </w:rPr>
      </w:pPr>
      <w:r>
        <w:rPr>
          <w:b/>
          <w:bCs/>
        </w:rPr>
        <w:t>加强非二氧化碳温室气体排放控制。</w:t>
      </w:r>
      <w:r>
        <w:t>围绕化工、电力、电子等重点排放行业，推广节能新技术，强化从源头、过程到产品的全流程温室气体排放管理，有效控制工业生产中的氧化亚氮、氢氟碳化物、全氟化碳等温室气体排放。</w:t>
      </w:r>
    </w:p>
    <w:p>
      <w:pPr>
        <w:pStyle w:val="40"/>
      </w:pPr>
      <w:bookmarkStart w:id="171" w:name="_Toc154688936"/>
      <w:bookmarkStart w:id="172" w:name="_Toc156576415"/>
      <w:r>
        <w:t>三、全面提升适应气候变化能力</w:t>
      </w:r>
      <w:bookmarkEnd w:id="171"/>
      <w:bookmarkEnd w:id="172"/>
    </w:p>
    <w:p>
      <w:pPr>
        <w:pStyle w:val="38"/>
        <w:spacing w:line="560" w:lineRule="exact"/>
      </w:pPr>
      <w:r>
        <w:rPr>
          <w:b/>
          <w:bCs/>
        </w:rPr>
        <w:t>提高重点领域气候适应能力。</w:t>
      </w:r>
      <w:r>
        <w:t>配合市级部门优化能源输储设施，着力提升能源安全保障能力。实施大石湖等重点塘坝除险加固和工农河闸等重要闸站改扩建工程，完善长江、秦淮新河防洪排涝能力。结合雨花“海绵城市”建设，加快推进供水、雨污水管网及积淹片区改造。</w:t>
      </w:r>
    </w:p>
    <w:p>
      <w:pPr>
        <w:pStyle w:val="38"/>
        <w:snapToGrid w:val="0"/>
        <w:spacing w:line="560" w:lineRule="exact"/>
      </w:pPr>
      <w:r>
        <w:rPr>
          <w:b/>
          <w:bCs/>
        </w:rPr>
        <w:t>持续完善极端气候应对能力。</w:t>
      </w:r>
      <w:r>
        <w:t>针对暴雨洪涝、台风等极端气候事件，提高城市生命线系统的设计、建设、养护标准，扩大耐受气候变化影响的变幅阈值。加强气候灾害应急响应能力建设，完善应急救援保障体系。</w:t>
      </w:r>
    </w:p>
    <w:p>
      <w:pPr>
        <w:pStyle w:val="38"/>
        <w:snapToGrid w:val="0"/>
        <w:spacing w:line="560" w:lineRule="exact"/>
      </w:pPr>
      <w:r>
        <w:rPr>
          <w:b/>
          <w:bCs/>
        </w:rPr>
        <w:t>加强温室气体监测和统计。</w:t>
      </w:r>
      <w:r>
        <w:t>落实国家和省市能源统计报表制度，加强能源消费和碳排放统计核算方法研究，建立重点开发区（园区）、控排企业能耗及碳排放数据的统计上报制度。按市要求开展温室气体排放专项调查，健全温室气体排放基础数据统计。按要求实施排放数据信息公开，配合推进碳排放报告、监测、核查制度与排污许可制度融合。</w:t>
      </w:r>
    </w:p>
    <w:p>
      <w:pPr>
        <w:pStyle w:val="38"/>
        <w:spacing w:line="560" w:lineRule="exact"/>
      </w:pPr>
      <w:r>
        <w:rPr>
          <w:b/>
          <w:bCs/>
        </w:rPr>
        <w:t>充分发挥市场机制作用。</w:t>
      </w:r>
      <w:r>
        <w:t>配合完成重点排放企业历史数据核查、配额分配等工作，加强重点排放单位温室气体排放和碳排放配额清缴情况监督检查。设立碳达峰碳中和专项资金，支持碳减排类技术研发项目申报和实施。鼓励社会资本以市场化方式设立绿色低碳产业投资基金，严格控制高碳项目投资。推广碳普惠机制应用及创新。</w:t>
      </w:r>
    </w:p>
    <w:p>
      <w:pPr>
        <w:pStyle w:val="15"/>
        <w:numPr>
          <w:ilvl w:val="0"/>
          <w:numId w:val="4"/>
        </w:numPr>
        <w:spacing w:line="560" w:lineRule="exact"/>
        <w:jc w:val="center"/>
      </w:pPr>
      <w:bookmarkStart w:id="173" w:name="_Toc156576416"/>
      <w:r>
        <w:t>坚持“三水”统筹，打造生态美丽河湖</w:t>
      </w:r>
      <w:bookmarkStart w:id="174" w:name="_Toc66431799"/>
      <w:bookmarkEnd w:id="173"/>
    </w:p>
    <w:p>
      <w:pPr>
        <w:pStyle w:val="40"/>
      </w:pPr>
      <w:bookmarkStart w:id="175" w:name="_Toc156576417"/>
      <w:bookmarkStart w:id="176" w:name="_Toc66431801"/>
      <w:bookmarkStart w:id="177" w:name="_Toc154688938"/>
      <w:r>
        <w:t>一、合理高效利用水资源</w:t>
      </w:r>
      <w:bookmarkEnd w:id="175"/>
      <w:bookmarkEnd w:id="176"/>
      <w:bookmarkEnd w:id="177"/>
    </w:p>
    <w:p>
      <w:pPr>
        <w:pStyle w:val="38"/>
        <w:spacing w:line="560" w:lineRule="exact"/>
      </w:pPr>
      <w:bookmarkStart w:id="178" w:name="_Toc154688939"/>
      <w:bookmarkStart w:id="179" w:name="_Toc66431800"/>
      <w:bookmarkEnd w:id="174"/>
      <w:r>
        <w:rPr>
          <w:b/>
          <w:bCs/>
        </w:rPr>
        <w:t>优化水资源配置。</w:t>
      </w:r>
      <w:r>
        <w:t>根据生态保护和高质量发展的用水需要，界定好刚性需求、合理需求。完善流域调配水工程建设，实施秦淮新河、板桥河、南南河、农花河等流域内河道补水工程。结合海绵城市建设，加强雨水收集利用，积极开展污水处理厂尾水在城市绿地浇洒、河道生态补水、道路冲洗以及部分工业用水的应用。</w:t>
      </w:r>
    </w:p>
    <w:p>
      <w:pPr>
        <w:pStyle w:val="38"/>
        <w:spacing w:line="560" w:lineRule="exact"/>
      </w:pPr>
      <w:r>
        <w:rPr>
          <w:b/>
          <w:bCs/>
        </w:rPr>
        <w:t>保障水生态流量。</w:t>
      </w:r>
      <w:r>
        <w:t>科学确定河湖生态水位（流量），编制雨花台区生态水位（流量）保障实施方案。完善流域调配水工程建设，配合实施秦淮新河补水泵站扩建工程、板桥河等流域内河道补水及配套引水泵站和输水管道工程，确保河流基本生态水量，维持河流生态廊道基本功能。</w:t>
      </w:r>
    </w:p>
    <w:p>
      <w:pPr>
        <w:pStyle w:val="38"/>
        <w:spacing w:line="560" w:lineRule="exact"/>
      </w:pPr>
      <w:r>
        <w:rPr>
          <w:b/>
          <w:bCs/>
        </w:rPr>
        <w:t>严格水资源管理。</w:t>
      </w:r>
      <w:r>
        <w:t>强化水资源刚性约束，实施水资源消耗总量控制行动，严格水资源有偿使用制度和非居民用水超定额超计划累进加价制度。建立用水单位重点监控名录，开展水效领跑者行动，大力推进节水型城市和载体建设。</w:t>
      </w:r>
    </w:p>
    <w:p>
      <w:pPr>
        <w:pStyle w:val="38"/>
        <w:spacing w:line="560" w:lineRule="exact"/>
      </w:pPr>
      <w:r>
        <w:rPr>
          <w:b/>
          <w:bCs/>
        </w:rPr>
        <w:t>推进非常规水利用。</w:t>
      </w:r>
      <w:r>
        <w:t>推进再生水循环利用，配合推进城南生活污水处理厂尾水再生利用系统建设，推动污水处理厂尾水在古雄街道（原板桥新城）、软件谷、开发区等片区的应用。加强非常规水资源利用，继续推进雨水利用示范工程。实施已投用项目雨水收集利用状况评估分析，推广雨水资源利用效率较高的典型工程。</w:t>
      </w:r>
    </w:p>
    <w:p>
      <w:pPr>
        <w:pStyle w:val="40"/>
      </w:pPr>
      <w:bookmarkStart w:id="180" w:name="_Toc156576418"/>
      <w:r>
        <w:t>二、多措并举治理水环境</w:t>
      </w:r>
      <w:bookmarkEnd w:id="178"/>
      <w:bookmarkEnd w:id="179"/>
      <w:bookmarkEnd w:id="180"/>
    </w:p>
    <w:p>
      <w:pPr>
        <w:pStyle w:val="38"/>
        <w:spacing w:line="560" w:lineRule="exact"/>
      </w:pPr>
      <w:r>
        <w:rPr>
          <w:b/>
          <w:bCs/>
        </w:rPr>
        <w:t>严格落实断面水质达标目标。</w:t>
      </w:r>
      <w:r>
        <w:t>实施控制单元精细化管理，全面推进水质不稳定达标断面、水质波动较大断面以及市考断面水质达标整治和长效管。实施骨干河道“消劣奔III”行动，形成“一河一策”个性化整治方案，加大执法监管力度，持续强化已整改销号问题“回头看”，确保国省考、入江支流等重点断面水质稳定达标。</w:t>
      </w:r>
    </w:p>
    <w:p>
      <w:pPr>
        <w:pStyle w:val="38"/>
        <w:spacing w:line="560" w:lineRule="exact"/>
      </w:pPr>
      <w:r>
        <w:rPr>
          <w:b/>
          <w:bCs/>
        </w:rPr>
        <w:t>加快排水源头和溢流污染治理。</w:t>
      </w:r>
      <w:r>
        <w:t>加强对沿河、沿街“小散乱”排水整治，严格管理建设工地施工临时排水，加快排水许可办理，强化批后监管。积极开展城镇污水处理提质增效精准攻坚“333”行动，提高片区污水收集效率。系统开展城市暗涵整治清淤，持续推进入河排污口分类整治，建立“一口一策”整治台账。到2025年，苏南县级以上建成区80%以上面积，建成“污水处理提质增效达标区”等。</w:t>
      </w:r>
    </w:p>
    <w:p>
      <w:pPr>
        <w:pStyle w:val="38"/>
        <w:spacing w:line="560" w:lineRule="exact"/>
      </w:pPr>
      <w:r>
        <w:rPr>
          <w:b/>
          <w:bCs/>
        </w:rPr>
        <w:t>重点防治工业点源污染。</w:t>
      </w:r>
      <w:r>
        <w:t>推进沿江产业结构及码头布局优化调整，禁止在长江干支流岸线1公里范围内新建、扩建化工园区和化工项目，加强长江沿线污染整治工作。巩固化工等行业整治成果，深入推进传统重点行业转型升级。鼓励工业污染集中排放和深度处理，推进排污企业入园进区。加强工业园区集中污水处理设施建设，重点行业企业工业废水实行“集中收集、分质处理、一企一管”，完善开发区污水收集配套管网。提升工业尾水循环和再生利用水平，对区域内耗水量大的企业配备环保循环设施。加强工业污染源监管，建立重点污染源在线监控系统。</w:t>
      </w:r>
    </w:p>
    <w:p>
      <w:pPr>
        <w:pStyle w:val="38"/>
        <w:spacing w:line="560" w:lineRule="exact"/>
      </w:pPr>
      <w:r>
        <w:rPr>
          <w:b/>
          <w:bCs/>
        </w:rPr>
        <w:t>全面防治农业农村污染。</w:t>
      </w:r>
      <w:r>
        <w:t>全面实施农村村级污水治理工程，持续开展村级生活污水处理设施新建及修缮。积极开展农村黑臭水体排查识别、监测整治行动，巩固黑臭水体整治成果。完善农村垃圾收集处理，推行城乡生活垃圾一体化处置模式。加强种植污染管控，继续推广应用生物农药、高效低风险农药、有机肥和配方肥，加快推进沿江5公里农药化肥减量行动。进一步加强对废旧农膜、农药包装袋等回收和集中处理。</w:t>
      </w:r>
    </w:p>
    <w:p>
      <w:pPr>
        <w:pStyle w:val="38"/>
        <w:spacing w:line="560" w:lineRule="exact"/>
      </w:pPr>
      <w:r>
        <w:rPr>
          <w:b/>
          <w:bCs/>
        </w:rPr>
        <w:t>全面改善长江水环境。</w:t>
      </w:r>
      <w:r>
        <w:t>落实主要入江支流领导挂钩负责制，推进入江支流生态修复和治理工程建设。有序推进长江入河排污口“一口一策”规范化整治工作，实现排污单位、污水管网、受纳水体全过程监管。构建长江生态监测系统，扩大“智慧小屋”应用范围。防治港口码头污染，协助市级部门提升港口船舶污染物接收转运处置设施的综合运行能力。</w:t>
      </w:r>
    </w:p>
    <w:p>
      <w:pPr>
        <w:pStyle w:val="40"/>
      </w:pPr>
      <w:bookmarkStart w:id="181" w:name="_Toc66431802"/>
      <w:bookmarkStart w:id="182" w:name="_Toc154688940"/>
      <w:bookmarkStart w:id="183" w:name="_Toc156576419"/>
      <w:r>
        <w:t>三、全面保护修复水生态</w:t>
      </w:r>
      <w:bookmarkEnd w:id="181"/>
      <w:bookmarkEnd w:id="182"/>
      <w:bookmarkEnd w:id="183"/>
    </w:p>
    <w:p>
      <w:pPr>
        <w:pStyle w:val="38"/>
        <w:spacing w:line="560" w:lineRule="exact"/>
      </w:pPr>
      <w:r>
        <w:rPr>
          <w:b/>
          <w:bCs/>
        </w:rPr>
        <w:t>推进河湖水系连通。</w:t>
      </w:r>
      <w:r>
        <w:t>依据水系专项规划，结合区域防洪排涝与水资源配置需求，以及水环境提升、滨河空间整治、河道岸坡整治等，推进城市河道生态化改造，实施板桥河、工农河、南南河等片区内水系连通及活水工程，以及长江、秦淮新河等防洪、滨河岸段综合治理。</w:t>
      </w:r>
    </w:p>
    <w:p>
      <w:pPr>
        <w:pStyle w:val="38"/>
        <w:spacing w:line="560" w:lineRule="exact"/>
      </w:pPr>
      <w:r>
        <w:rPr>
          <w:b/>
          <w:bCs/>
        </w:rPr>
        <w:t>推进湿地恢复与建设。</w:t>
      </w:r>
      <w:r>
        <w:t>采用人工湿地、生态浮岛、水生植物种植等技术方法，恢复和构建土壤-微生物-植物生态系统，持续去除水体中的有机物、氮、磷等污染物。采用净化效果好的乡土物种，注重植物的空间布局与搭配。</w:t>
      </w:r>
    </w:p>
    <w:p>
      <w:pPr>
        <w:pStyle w:val="38"/>
        <w:spacing w:line="560" w:lineRule="exact"/>
      </w:pPr>
      <w:r>
        <w:rPr>
          <w:b/>
          <w:bCs/>
        </w:rPr>
        <w:t>打造生态美丽河湖样板。</w:t>
      </w:r>
      <w:r>
        <w:t>开展生态护岸、滨河带治理、河道疏浚、底泥清淤、排污口整治等综合整治措施，持续改善河湖水环境质量，提高水环境容量，打造工农河、南南河、路线河、农花河、南河、板桥河、莲花湖等滨水景观带，创建莲花湖“美丽河湖”示范工程。</w:t>
      </w:r>
    </w:p>
    <w:p>
      <w:pPr>
        <w:pStyle w:val="38"/>
        <w:spacing w:line="560" w:lineRule="exact"/>
      </w:pPr>
      <w:r>
        <w:rPr>
          <w:b/>
          <w:bCs/>
        </w:rPr>
        <w:t>强化水土流失治理。</w:t>
      </w:r>
      <w:r>
        <w:t>健全水土流失综合防治体系，全面落实开发建设项目水土保持“三同时”制度，严格水土保持方案审批。充分利用卫星遥感、无人机监测等技术手段，建立健全布局合理、功能完善的水土保持监测网络体系。持续推进生态清洁型小流域建设。</w:t>
      </w:r>
    </w:p>
    <w:p>
      <w:pPr>
        <w:pStyle w:val="38"/>
        <w:spacing w:line="560" w:lineRule="exact"/>
      </w:pPr>
      <w:r>
        <w:rPr>
          <w:b/>
          <w:bCs/>
        </w:rPr>
        <w:t>严格保护长江水生态。</w:t>
      </w:r>
      <w:r>
        <w:t>巩固长江经济带生态环境问题整改成效，常态化开展长江生态环境问题自查自纠和“回头看”，建立完善滚动整改机制。落实长江“十年”禁渔，建成禁渔综合管理平台，建设违法信息管理系统，构建技防为主、人防为辅，多部门协作快速反应的水陆空防控网。</w:t>
      </w:r>
    </w:p>
    <w:p>
      <w:pPr>
        <w:pStyle w:val="15"/>
        <w:numPr>
          <w:ilvl w:val="0"/>
          <w:numId w:val="4"/>
        </w:numPr>
        <w:spacing w:line="560" w:lineRule="exact"/>
        <w:jc w:val="center"/>
      </w:pPr>
      <w:bookmarkStart w:id="184" w:name="_Toc156576420"/>
      <w:bookmarkStart w:id="185" w:name="_Toc66431804"/>
      <w:bookmarkStart w:id="186" w:name="_Hlk60000955"/>
      <w:r>
        <w:t>坚持协同控制，改善环境空气质量</w:t>
      </w:r>
      <w:bookmarkEnd w:id="184"/>
      <w:bookmarkEnd w:id="185"/>
      <w:bookmarkEnd w:id="186"/>
    </w:p>
    <w:p>
      <w:pPr>
        <w:pStyle w:val="40"/>
      </w:pPr>
      <w:bookmarkStart w:id="187" w:name="_Toc154688942"/>
      <w:bookmarkStart w:id="188" w:name="_Toc156576421"/>
      <w:bookmarkStart w:id="189" w:name="_Toc66431805"/>
      <w:r>
        <w:t>一、协同控制细颗粒物和臭氧</w:t>
      </w:r>
      <w:bookmarkEnd w:id="187"/>
      <w:bookmarkEnd w:id="188"/>
    </w:p>
    <w:p>
      <w:pPr>
        <w:spacing w:line="560" w:lineRule="exact"/>
        <w:ind w:firstLineChars="200" w:firstLine="560"/>
      </w:pPr>
      <w:r>
        <w:rPr>
          <w:b/>
          <w:bCs/>
        </w:rPr>
        <w:t>实施大气环境质量目标管理。</w:t>
      </w:r>
      <w:r>
        <w:t>严格落实空气质量目标责任制，进一步夯实点位达标负责人精准履职，定期对站点周边污染源开展检查、巡查。编制实施大气环境质量稳定达标及持续改善相关规划，落实空气质量提升及污染防治重点任务，确保空气环境质量稳定达标、持续改善。</w:t>
      </w:r>
    </w:p>
    <w:p>
      <w:pPr>
        <w:spacing w:line="560" w:lineRule="exact"/>
        <w:ind w:firstLineChars="200" w:firstLine="560"/>
      </w:pPr>
      <w:r>
        <w:rPr>
          <w:b/>
          <w:bCs/>
        </w:rPr>
        <w:t>协同开展PM</w:t>
      </w:r>
      <w:r>
        <w:rPr>
          <w:b/>
          <w:bCs/>
          <w:vertAlign w:val="subscript"/>
        </w:rPr>
        <w:t>2.5</w:t>
      </w:r>
      <w:r>
        <w:rPr>
          <w:b/>
          <w:bCs/>
        </w:rPr>
        <w:t>和O</w:t>
      </w:r>
      <w:r>
        <w:rPr>
          <w:b/>
          <w:bCs/>
          <w:vertAlign w:val="subscript"/>
        </w:rPr>
        <w:t>3</w:t>
      </w:r>
      <w:r>
        <w:rPr>
          <w:b/>
          <w:bCs/>
        </w:rPr>
        <w:t>污染防治。</w:t>
      </w:r>
      <w:r>
        <w:t>制定加强PM</w:t>
      </w:r>
      <w:r>
        <w:rPr>
          <w:vertAlign w:val="subscript"/>
        </w:rPr>
        <w:t>2.5</w:t>
      </w:r>
      <w:r>
        <w:t>和O</w:t>
      </w:r>
      <w:r>
        <w:rPr>
          <w:vertAlign w:val="subscript"/>
        </w:rPr>
        <w:t>3</w:t>
      </w:r>
      <w:r>
        <w:t>协同控制持续改善空气质量实施方案。统筹考虑PM</w:t>
      </w:r>
      <w:r>
        <w:rPr>
          <w:vertAlign w:val="subscript"/>
        </w:rPr>
        <w:t>2.5</w:t>
      </w:r>
      <w:r>
        <w:t>和O</w:t>
      </w:r>
      <w:r>
        <w:rPr>
          <w:vertAlign w:val="subscript"/>
        </w:rPr>
        <w:t>3</w:t>
      </w:r>
      <w:r>
        <w:t>污染区域传输规律和季节性特征，强化分区分时分类差异化精细化协同管控。到2025年，挥发性有机物、氮氧化物排放总量比2020年分别下降10%以上，臭氧浓度增长趋势得到有效遏制。</w:t>
      </w:r>
    </w:p>
    <w:p>
      <w:pPr>
        <w:pStyle w:val="40"/>
      </w:pPr>
      <w:bookmarkStart w:id="190" w:name="_Toc154688943"/>
      <w:bookmarkStart w:id="191" w:name="_Toc156576422"/>
      <w:r>
        <w:t>二、加强工业废气污染治理</w:t>
      </w:r>
      <w:bookmarkEnd w:id="190"/>
      <w:bookmarkEnd w:id="191"/>
    </w:p>
    <w:p>
      <w:pPr>
        <w:spacing w:line="560" w:lineRule="exact"/>
        <w:ind w:firstLineChars="200" w:firstLine="560"/>
      </w:pPr>
      <w:r>
        <w:rPr>
          <w:b/>
          <w:bCs/>
        </w:rPr>
        <w:t>加强重点行业污染物深度治理。</w:t>
      </w:r>
      <w:r>
        <w:t>高质量推进钢铁等重点行业超低排放改造，配合推动梅钢完成全流程超低排放改造及绩效分级A级企业创建，推进电力企业全负荷脱硝改造，加强电力等重点行业企业管控。持续整治“厂中厂”“园中园”，坚决关闭工艺落后、污染严重的产能和企业。强化工业炉窑治理，全面开展工业炉窑简易低效污染治理设施排查，开展工业炉窑整治“回头看”。加强生物质锅炉燃料品质及排放管控，禁止使用劣质燃料或掺烧垃圾、工业固废等。</w:t>
      </w:r>
    </w:p>
    <w:p>
      <w:pPr>
        <w:spacing w:line="560" w:lineRule="exact"/>
        <w:ind w:firstLineChars="200" w:firstLine="560"/>
      </w:pPr>
      <w:r>
        <w:rPr>
          <w:b/>
          <w:bCs/>
        </w:rPr>
        <w:t>加强恶臭、有毒有害气体等污染治理。</w:t>
      </w:r>
      <w:r>
        <w:t>加强污水处理、塑料制品等行业恶臭污染防治，加强消耗臭氧层物质和氢氟碳化物环境管理，推进大气汞和持久性有机物排放控制，加强有毒有害大气污染物风险管控，开展企业异味管控规范化建设。稳步推进大气氨污染防控，强化工业源烟气脱硫脱硝氨逃逸防控。</w:t>
      </w:r>
    </w:p>
    <w:p>
      <w:pPr>
        <w:spacing w:line="560" w:lineRule="exact"/>
        <w:ind w:firstLineChars="200" w:firstLine="560"/>
      </w:pPr>
      <w:r>
        <w:rPr>
          <w:b/>
          <w:bCs/>
        </w:rPr>
        <w:t>提升重点行业企业管理水平。</w:t>
      </w:r>
      <w:r>
        <w:t>推进工业污染源全过程精细化管理，建设健全工业企业问题库，形成“一企一档一策”。实施重点行业大气治理绩效分级提升行动，提升绩效评级B级以上企业数量，指导重大民生保障和战略性新兴产业积极申请豁免。全面优化管控豁免，对符合条件的工业企业和差别化管理工地“应免尽免”并实施动态管理。</w:t>
      </w:r>
    </w:p>
    <w:p>
      <w:pPr>
        <w:pStyle w:val="40"/>
      </w:pPr>
      <w:bookmarkStart w:id="192" w:name="_Toc156576423"/>
      <w:bookmarkStart w:id="193" w:name="_Toc154688944"/>
      <w:r>
        <w:t>三、大力削减挥发性有机物</w:t>
      </w:r>
      <w:bookmarkEnd w:id="192"/>
      <w:bookmarkEnd w:id="193"/>
    </w:p>
    <w:p>
      <w:pPr>
        <w:spacing w:line="560" w:lineRule="exact"/>
        <w:ind w:firstLineChars="200" w:firstLine="560"/>
      </w:pPr>
      <w:r>
        <w:rPr>
          <w:b/>
          <w:bCs/>
        </w:rPr>
        <w:t>严控新增VOCs排放量。</w:t>
      </w:r>
      <w:r>
        <w:t>提高VOCs排放重点行业准入门槛，严格限制高VOCs排放建设项目，禁止建设生产和使用高VOCs含量涂料、油墨、胶粘剂、清洗剂等建设项目。控制新增污染物排放量，实行区域内VOCs排放倍量削减替代。室外构筑物防护和城市道路交通标志推广使用低（无）VOCs含量涂料。在生产、销售、进口、使用等环节严格执行VOCs含量限值标准。</w:t>
      </w:r>
    </w:p>
    <w:p>
      <w:pPr>
        <w:spacing w:line="560" w:lineRule="exact"/>
        <w:ind w:firstLineChars="200" w:firstLine="560"/>
        <w:rPr>
          <w:b/>
          <w:bCs/>
        </w:rPr>
      </w:pPr>
      <w:r>
        <w:rPr>
          <w:b/>
          <w:bCs/>
        </w:rPr>
        <w:t>大力推进源头替代。</w:t>
      </w:r>
      <w:r>
        <w:t>减少苯、甲苯、二甲苯、含卤素有机化合物等溶剂和助剂的使用，到2025年使用量在2020年基础上减少20%。在技术成熟的木质家具生产、工业防护等领域全面推广低VOCs含量涂料，技术尚未全部成熟领域开展替代试点。推广使用水性、辐射固化替代溶剂型油墨，推广使用水基、本体型胶粘剂替代溶剂型胶粘剂。</w:t>
      </w:r>
    </w:p>
    <w:p>
      <w:pPr>
        <w:spacing w:line="560" w:lineRule="exact"/>
        <w:ind w:firstLineChars="200" w:firstLine="560"/>
      </w:pPr>
      <w:r>
        <w:rPr>
          <w:b/>
          <w:bCs/>
        </w:rPr>
        <w:t>实施VOCs综合治理。</w:t>
      </w:r>
      <w:r>
        <w:t>开展成品油、有机化学品等涉VOCs物质储罐排查，逐步取消工业涂装、包装印刷等企业非必要的VOCs废气排放系统旁路。推动包装印刷、家具制造、电子设备制造及其他工业涂装行业涉VOCs排放主要工序设备密闭化改造。在安全生产前提下，实施危废库、污水处理池、物料储运库等涉VOCs场所废气集中收集处理。加强产业集群区企业排查，加快推进汽修企业集群建设涉VOCs“绿岛”项目。加强加油站执法监督检查力度，开展监督性监测，确保油气收集效率。</w:t>
      </w:r>
    </w:p>
    <w:p>
      <w:pPr>
        <w:spacing w:line="560" w:lineRule="exact"/>
        <w:ind w:firstLineChars="200" w:firstLine="560"/>
      </w:pPr>
      <w:r>
        <w:rPr>
          <w:b/>
          <w:bCs/>
        </w:rPr>
        <w:t>强化无组织排放控制。</w:t>
      </w:r>
      <w:r>
        <w:t>加强企业全过程无组织废气的收集，强化VOCs物料全环节的无组织排放控制。围绕挥发性有机液体储罐、装卸、敞开液面、泄漏检测与修复（LDAR）、废气收集、废气旁路、治理设施、加油站、非正常工况、产品VOCs含量等关键环节，对涉VOCs重点排放单位开展深入排查，滚动形成治理项目，加快推进实施。</w:t>
      </w:r>
    </w:p>
    <w:p>
      <w:pPr>
        <w:pStyle w:val="40"/>
      </w:pPr>
      <w:bookmarkStart w:id="194" w:name="_Toc156576424"/>
      <w:bookmarkStart w:id="195" w:name="_Toc154688945"/>
      <w:r>
        <w:t>四、打好交通运输污染防治攻坚战</w:t>
      </w:r>
      <w:bookmarkEnd w:id="194"/>
      <w:bookmarkEnd w:id="195"/>
    </w:p>
    <w:p>
      <w:pPr>
        <w:spacing w:line="560" w:lineRule="exact"/>
        <w:ind w:firstLineChars="200" w:firstLine="560"/>
      </w:pPr>
      <w:r>
        <w:rPr>
          <w:b/>
          <w:bCs/>
        </w:rPr>
        <w:t>持续加强机动车污染防治。</w:t>
      </w:r>
      <w:r>
        <w:t>实施“绿色车轮”计划，推进新能源汽车消费替代，逐步降低燃油汽车在道路运输领域中的占比。按南京市要求适时调整高排放机动车限行范围和时段，完成市下达的国三排放标准营运柴油货车的淘汰任务。加快淘汰采用稀薄燃烧技术或“油改气”的老旧燃气车辆，强化I/M制度闭环管理。加强油气监管，推进加油站三次油气回收安装在线并联网。完善雨花台区生态环境、公安交管、交通运输等部门机动车联合执法机制，严厉打击超标排放等违法行为。</w:t>
      </w:r>
    </w:p>
    <w:p>
      <w:pPr>
        <w:spacing w:line="560" w:lineRule="exact"/>
        <w:ind w:firstLineChars="200" w:firstLine="560"/>
      </w:pPr>
      <w:r>
        <w:rPr>
          <w:b/>
          <w:bCs/>
        </w:rPr>
        <w:t>加强非道路移动机械管理。</w:t>
      </w:r>
      <w:r>
        <w:t>按市要求实施非道路移动机械及柴油机第四阶段排放标准。完成市下达的老旧工程机械和船舶淘汰任务，推动国一非道路移动机械退出市场。鼓励新增和更新的非道路移动机械优先选用新能源或清洁能源，鼓励叉车等小型工程机械电动化。强化非道路移动机械排放控制区管控，持续推进非道路移动机械申报登记和标识管理全覆盖。</w:t>
      </w:r>
    </w:p>
    <w:p>
      <w:pPr>
        <w:spacing w:line="560" w:lineRule="exact"/>
        <w:ind w:firstLineChars="200" w:firstLine="560"/>
      </w:pPr>
      <w:r>
        <w:rPr>
          <w:b/>
          <w:bCs/>
        </w:rPr>
        <w:t>加强船舶污染防治。</w:t>
      </w:r>
      <w:r>
        <w:t>严格实施船舶发动机第一阶段国家排放标准，按市要求推进港作机械“油改电”和“油改气”，鼓励具备深度治理条件的船舶进行发动机升级或加装尾气处理装置等措施。执行船舶排放控制区要求，加大船舶使用燃油抽检频次，督促船舶使用合规燃油。推广使用电、天然气等新能源或清洁能源船舶，提高岸电使用率。</w:t>
      </w:r>
    </w:p>
    <w:p>
      <w:pPr>
        <w:spacing w:line="560" w:lineRule="exact"/>
        <w:ind w:firstLineChars="200" w:firstLine="560"/>
      </w:pPr>
      <w:r>
        <w:rPr>
          <w:b/>
          <w:bCs/>
        </w:rPr>
        <w:t>全面保障成品油质量。</w:t>
      </w:r>
      <w:r>
        <w:t>加强油品进口、生产、仓储、销售、运输、使用全环节监管，全面清理整顿自建油罐、流动加油车（船）和黑加油站点，坚决打击将非标油品作为发动机燃料销售等行为。提升货车、非道路移动机械、船舶油箱中柴油抽测频次，对发现的线索进行溯源，严厉追究相关生产、销售、运输者主体责任。</w:t>
      </w:r>
    </w:p>
    <w:p>
      <w:pPr>
        <w:pStyle w:val="40"/>
      </w:pPr>
      <w:bookmarkStart w:id="196" w:name="_Toc156576425"/>
      <w:bookmarkStart w:id="197" w:name="_Toc154688946"/>
      <w:r>
        <w:t>五、深化城市面源污染治理</w:t>
      </w:r>
      <w:bookmarkEnd w:id="196"/>
      <w:bookmarkEnd w:id="197"/>
    </w:p>
    <w:p>
      <w:pPr>
        <w:spacing w:line="560" w:lineRule="exact"/>
        <w:ind w:firstLineChars="200" w:firstLine="560"/>
      </w:pPr>
      <w:r>
        <w:rPr>
          <w:b/>
          <w:bCs/>
        </w:rPr>
        <w:t>严控工地扬尘污染。</w:t>
      </w:r>
      <w:r>
        <w:t>严格落实建筑工地“十达标措施”制度，确保工地喷淋、洒水抑尘设施“全覆盖”。动态更新施工工地管理清单，到2025年，规模以上房建、市政、交通、水务、园林建设工程全部建成“智慧工地”。强化建筑工程扬尘监管属地责任落实，对扬尘管控措施落实不到位工地，综合运用暂停夜间施工许可、行政处罚、扣减信用分等手段予以惩戒。</w:t>
      </w:r>
    </w:p>
    <w:p>
      <w:pPr>
        <w:spacing w:line="560" w:lineRule="exact"/>
        <w:ind w:firstLineChars="200" w:firstLine="560"/>
      </w:pPr>
      <w:r>
        <w:rPr>
          <w:b/>
          <w:bCs/>
        </w:rPr>
        <w:t>提升道路保洁水平。</w:t>
      </w:r>
      <w:r>
        <w:t>实施渣土车硬覆盖与全密闭运输，按照南京市要求，逐步扩大渣土车白天运输范围及比例。扩大小型机械作业范围，逐步覆盖背街小巷及人行道，加大机械化洗扫作业力度，到2025年，全区主次干道机扫率达到100%。强化道路冲洗除尘，确保道路清扫、保洁不留空当。常态化开展道路积尘走航监测。</w:t>
      </w:r>
    </w:p>
    <w:p>
      <w:pPr>
        <w:spacing w:line="560" w:lineRule="exact"/>
        <w:ind w:firstLineChars="200" w:firstLine="560"/>
      </w:pPr>
      <w:r>
        <w:rPr>
          <w:b/>
          <w:bCs/>
        </w:rPr>
        <w:t>加强码头堆场管理。</w:t>
      </w:r>
      <w:r>
        <w:t>强化码头堆场及装卸作业区域扬尘控制，严格落实封闭、硬化、喷淋、保洁和冲洗等扬尘防控措施。持续加大辖区内梅山运翔、弘阳、恒江物流和大胜关等码头的检查督导力度，夯实渣土码头企业主体责任，规范渣土消纳工作。</w:t>
      </w:r>
    </w:p>
    <w:p>
      <w:pPr>
        <w:spacing w:line="560" w:lineRule="exact"/>
        <w:ind w:firstLineChars="200" w:firstLine="560"/>
      </w:pPr>
      <w:r>
        <w:rPr>
          <w:b/>
          <w:bCs/>
        </w:rPr>
        <w:t>整治餐饮油烟等污染。</w:t>
      </w:r>
      <w:r>
        <w:t>在“查、核、督、处、服”监管基础上，聘请市餐饮协会专家开展专项帮扶。严格居民楼附近餐饮服务单位布局管理，拟开设餐饮服务单位的建筑应设计建设专用烟道。深入推进餐饮油烟治理，重点规范整治学校食堂及商贸经营场所餐饮服务单位，对群众反映强烈的恶臭异味扰民问题加强排查整治。推动餐饮油烟企业安装油烟净化装置并实施联网，推广餐饮油烟“码上洗”监管服务平台，完善油烟在线监控系统。到2025年，排放油烟的餐饮企业实现油烟净化设施应装尽装。</w:t>
      </w:r>
    </w:p>
    <w:p>
      <w:pPr>
        <w:pStyle w:val="40"/>
      </w:pPr>
      <w:bookmarkStart w:id="198" w:name="_Toc154688947"/>
      <w:bookmarkStart w:id="199" w:name="_Toc156576426"/>
      <w:r>
        <w:t>六、提升污染天气应对能力</w:t>
      </w:r>
      <w:bookmarkEnd w:id="198"/>
      <w:bookmarkEnd w:id="199"/>
    </w:p>
    <w:p>
      <w:pPr>
        <w:spacing w:line="560" w:lineRule="exact"/>
        <w:ind w:firstLineChars="200" w:firstLine="560"/>
      </w:pPr>
      <w:r>
        <w:rPr>
          <w:b/>
          <w:bCs/>
        </w:rPr>
        <w:t>完善污染天气应急响应措施。</w:t>
      </w:r>
      <w:r>
        <w:t>严格落实“省市预警、区级响应”要求，根据预警信息按级别及时启动应急响应措施。细化应急减排管控清单，结合排污许可制度，确保应急减排清单覆盖所有涉气企业。优化应急减排措施要求，实施“一厂一策”清单化管理。</w:t>
      </w:r>
    </w:p>
    <w:p>
      <w:pPr>
        <w:spacing w:line="560" w:lineRule="exact"/>
        <w:ind w:firstLineChars="200" w:firstLine="560"/>
      </w:pPr>
      <w:r>
        <w:rPr>
          <w:b/>
          <w:bCs/>
        </w:rPr>
        <w:t>提高区域联防联控水平。</w:t>
      </w:r>
      <w:r>
        <w:t>积极配合完善区域统一指挥，推动与兄弟</w:t>
      </w:r>
      <w:r>
        <w:rPr>
          <w:rFonts w:hint="eastAsia"/>
        </w:rPr>
        <w:t>地</w:t>
      </w:r>
      <w:r>
        <w:t>区间的协调会商、共同行动、信息共享等联防联控机制。坚持属地管理与区域共治相结合，加强与秦淮、建邺两区合作，形成更大治气合力，加强中华门国控点等重点区域联防联控，积极做好国家重大活动空气质量保障。</w:t>
      </w:r>
    </w:p>
    <w:p>
      <w:pPr>
        <w:pStyle w:val="15"/>
        <w:numPr>
          <w:ilvl w:val="0"/>
          <w:numId w:val="4"/>
        </w:numPr>
        <w:spacing w:line="560" w:lineRule="exact"/>
        <w:jc w:val="center"/>
      </w:pPr>
      <w:bookmarkStart w:id="200" w:name="_Hlk60001327"/>
      <w:bookmarkStart w:id="201" w:name="_Toc74772990"/>
      <w:bookmarkStart w:id="202" w:name="_Toc156576427"/>
      <w:bookmarkEnd w:id="189"/>
      <w:r>
        <w:t>坚持系统防控，</w:t>
      </w:r>
      <w:bookmarkEnd w:id="200"/>
      <w:bookmarkEnd w:id="201"/>
      <w:r>
        <w:t>着力保护土壤环境</w:t>
      </w:r>
      <w:bookmarkEnd w:id="202"/>
    </w:p>
    <w:p>
      <w:pPr>
        <w:pStyle w:val="40"/>
      </w:pPr>
      <w:bookmarkStart w:id="203" w:name="_Toc154688949"/>
      <w:bookmarkStart w:id="204" w:name="_Toc156576428"/>
      <w:bookmarkStart w:id="205" w:name="_Toc74772991"/>
      <w:r>
        <w:t>一、加强土壤污染源头防控</w:t>
      </w:r>
      <w:bookmarkEnd w:id="203"/>
      <w:bookmarkEnd w:id="204"/>
    </w:p>
    <w:p>
      <w:pPr>
        <w:pStyle w:val="44"/>
        <w:spacing w:line="560" w:lineRule="exact"/>
        <w:rPr>
          <w:rFonts w:eastAsia="方正仿宋_GBK"/>
          <w:bCs/>
        </w:rPr>
      </w:pPr>
      <w:r>
        <w:rPr>
          <w:rFonts w:eastAsia="方正仿宋_GBK"/>
          <w:b/>
        </w:rPr>
        <w:t>持续开展土壤状况调查和评估。</w:t>
      </w:r>
      <w:r>
        <w:rPr>
          <w:rFonts w:eastAsia="方正仿宋_GBK"/>
          <w:bCs/>
        </w:rPr>
        <w:t>继续排查重点地块土壤污染状况，优先对重点行业企业用地调查确定的优先管控名录中地块，开展进一步调查和风险评估。开展长江大保护沿江区域工业企业腾退地块的土壤污染状况调查和风险评估。对用途变更为住宅、公共管理与公共服务用地的地块，依法开展土壤污染状况调查。</w:t>
      </w:r>
    </w:p>
    <w:p>
      <w:pPr>
        <w:pStyle w:val="44"/>
        <w:spacing w:line="560" w:lineRule="exact"/>
        <w:rPr>
          <w:rFonts w:eastAsia="方正仿宋_GBK"/>
          <w:bCs/>
        </w:rPr>
      </w:pPr>
      <w:r>
        <w:rPr>
          <w:rFonts w:eastAsia="方正仿宋_GBK"/>
          <w:b/>
        </w:rPr>
        <w:t>防范工业企业新增土壤污染。</w:t>
      </w:r>
      <w:r>
        <w:rPr>
          <w:rFonts w:eastAsia="方正仿宋_GBK"/>
          <w:bCs/>
        </w:rPr>
        <w:t>严格落实土壤环境影响评价制度，鼓励土壤污染重点监管单位实施管道化、密闭化改造，重点区域防腐防渗改造。动态更新土壤污染重点监管单位名录，督促重点监管单位落实自行监测要求。到2025年，区土壤污染重点监管单位排污许可证应全部载明土壤污染防治义务，至少完成1次土壤污染隐患排查。</w:t>
      </w:r>
    </w:p>
    <w:p>
      <w:pPr>
        <w:pStyle w:val="44"/>
        <w:spacing w:line="560" w:lineRule="exact"/>
        <w:rPr>
          <w:rFonts w:eastAsia="方正仿宋_GBK"/>
          <w:bCs/>
        </w:rPr>
      </w:pPr>
      <w:r>
        <w:rPr>
          <w:rFonts w:eastAsia="方正仿宋_GBK"/>
          <w:b/>
        </w:rPr>
        <w:t>严防新增耕地土壤污染。</w:t>
      </w:r>
      <w:r>
        <w:rPr>
          <w:rFonts w:eastAsia="方正仿宋_GBK"/>
          <w:bCs/>
        </w:rPr>
        <w:t>加大优先保护类耕地保护力度，加强农药、肥料等农业投入品使用管理，推进农药、肥料、农膜等农业投入品包装废弃物回收及无害化处理。以板桥街道为重点，积极推进化肥与化学农药“两减”示范带建设，确保沿江5公里化肥使用量、化学农药使用量持续减少。</w:t>
      </w:r>
    </w:p>
    <w:p>
      <w:pPr>
        <w:pStyle w:val="40"/>
      </w:pPr>
      <w:bookmarkStart w:id="206" w:name="_Toc86220975"/>
      <w:bookmarkStart w:id="207" w:name="_Toc156576429"/>
      <w:bookmarkStart w:id="208" w:name="_Toc154688950"/>
      <w:r>
        <w:t>二、全面推进土壤安全利用</w:t>
      </w:r>
      <w:bookmarkEnd w:id="206"/>
      <w:bookmarkEnd w:id="207"/>
      <w:bookmarkEnd w:id="208"/>
    </w:p>
    <w:p>
      <w:pPr>
        <w:pStyle w:val="44"/>
        <w:spacing w:line="560" w:lineRule="exact"/>
        <w:rPr>
          <w:rFonts w:eastAsia="方正仿宋_GBK"/>
          <w:bCs/>
        </w:rPr>
      </w:pPr>
      <w:r>
        <w:rPr>
          <w:rFonts w:eastAsia="方正仿宋_GBK" w:hint="eastAsia"/>
          <w:b/>
        </w:rPr>
        <w:t>深入推进农用地安全利用。</w:t>
      </w:r>
      <w:r>
        <w:rPr>
          <w:rFonts w:eastAsia="方正仿宋_GBK" w:hint="eastAsia"/>
          <w:bCs/>
        </w:rPr>
        <w:t>加强耕地土壤和农产品协同监测和评价，动态更新耕地土壤环境质量类别。针对优先保护类耕地，加大保护力度，确保其面积不减少、土壤环境质量不下降。</w:t>
      </w:r>
    </w:p>
    <w:p>
      <w:pPr>
        <w:pStyle w:val="44"/>
        <w:spacing w:line="560" w:lineRule="exact"/>
        <w:rPr>
          <w:rFonts w:eastAsia="方正仿宋_GBK"/>
          <w:bCs/>
        </w:rPr>
      </w:pPr>
      <w:r>
        <w:rPr>
          <w:rFonts w:eastAsia="方正仿宋_GBK"/>
          <w:b/>
        </w:rPr>
        <w:t>加强建设用地环境管理。</w:t>
      </w:r>
      <w:r>
        <w:rPr>
          <w:rFonts w:eastAsia="方正仿宋_GBK"/>
          <w:bCs/>
        </w:rPr>
        <w:t>合理规划污染地块用途，强化污染地块再开发利用活动联动监管，严格污染地块准入管理。建立多部门联动机制，加强各部门信息沟通和共享，实现疑似污染地块、污染地块空间信息与国土空间规划“一张图”。</w:t>
      </w:r>
    </w:p>
    <w:p>
      <w:pPr>
        <w:pStyle w:val="44"/>
        <w:spacing w:line="560" w:lineRule="exact"/>
        <w:rPr>
          <w:rFonts w:eastAsia="方正仿宋_GBK"/>
          <w:bCs/>
        </w:rPr>
      </w:pPr>
      <w:r>
        <w:rPr>
          <w:rFonts w:eastAsia="方正仿宋_GBK"/>
          <w:b/>
        </w:rPr>
        <w:t>实施土壤污染治理修复。</w:t>
      </w:r>
      <w:r>
        <w:rPr>
          <w:rFonts w:eastAsia="方正仿宋_GBK"/>
          <w:bCs/>
        </w:rPr>
        <w:t>建立土壤污染责任追溯制度，科学制定污染地块治理修复方案，推进重点地块污染治理修复。强化土壤污染治理与修复监管，定期开展已修复土壤地块治理与修复成效综合评估，建立污染地块修复绿色技术清单。加强施工期污染防治，防止转运污染土壤非法处置。</w:t>
      </w:r>
    </w:p>
    <w:p>
      <w:pPr>
        <w:pStyle w:val="40"/>
      </w:pPr>
      <w:bookmarkStart w:id="209" w:name="_Toc156576430"/>
      <w:bookmarkStart w:id="210" w:name="_Toc154688951"/>
      <w:bookmarkStart w:id="211" w:name="_Toc73368246"/>
      <w:bookmarkStart w:id="212" w:name="_Toc86220976"/>
      <w:r>
        <w:t>三、扎实推动地下水污染防治</w:t>
      </w:r>
      <w:bookmarkEnd w:id="209"/>
      <w:bookmarkEnd w:id="210"/>
    </w:p>
    <w:p>
      <w:pPr>
        <w:pStyle w:val="44"/>
        <w:spacing w:line="560" w:lineRule="exact"/>
        <w:rPr>
          <w:rFonts w:eastAsia="方正仿宋_GBK"/>
          <w:bCs/>
        </w:rPr>
      </w:pPr>
      <w:r>
        <w:rPr>
          <w:rFonts w:eastAsia="方正仿宋_GBK"/>
          <w:b/>
        </w:rPr>
        <w:t>开展地下水环境状况调查评估。</w:t>
      </w:r>
      <w:r>
        <w:rPr>
          <w:rFonts w:eastAsia="方正仿宋_GBK"/>
          <w:bCs/>
        </w:rPr>
        <w:t>按市要求开展“一企一库”“两场两区”等重点污染源及生活污染源地下水环境状况调查评估，查清基本信息、环境管理、水质状况等内容，评估地下水环境风险及其对周边环境的潜在风险。</w:t>
      </w:r>
    </w:p>
    <w:p>
      <w:pPr>
        <w:pStyle w:val="44"/>
        <w:spacing w:line="560" w:lineRule="exact"/>
        <w:rPr>
          <w:rFonts w:eastAsia="方正仿宋_GBK"/>
          <w:b/>
        </w:rPr>
      </w:pPr>
      <w:r>
        <w:rPr>
          <w:rFonts w:eastAsia="方正仿宋_GBK"/>
          <w:b/>
        </w:rPr>
        <w:t>实施地下水环境风险管控和修复。</w:t>
      </w:r>
      <w:r>
        <w:rPr>
          <w:rFonts w:eastAsia="方正仿宋_GBK"/>
          <w:bCs/>
        </w:rPr>
        <w:t>推动地下水污染防治重点排污单位纳入排污许可管理，指导重点排污单位开展地下水污染渗漏排查，落实污染防渗改造措施。定期开展地下水环境周边监测，指导重点排污单位开展地下水环境自行监测。开展地下水污染风险管控和修复，完成工业集聚区地下水污染风险管控工作，探索开展土壤、地下水污染协同治理示范工程。2025年，完成上级下达的地下水防治任务，确保地下水环境质量不下降。</w:t>
      </w:r>
    </w:p>
    <w:p>
      <w:pPr>
        <w:pStyle w:val="15"/>
        <w:numPr>
          <w:ilvl w:val="0"/>
          <w:numId w:val="4"/>
        </w:numPr>
        <w:spacing w:line="560" w:lineRule="exact"/>
        <w:jc w:val="center"/>
      </w:pPr>
      <w:bookmarkStart w:id="213" w:name="_Toc156576431"/>
      <w:bookmarkStart w:id="214" w:name="_Hlk58570337"/>
      <w:bookmarkEnd w:id="205"/>
      <w:bookmarkEnd w:id="211"/>
      <w:bookmarkEnd w:id="212"/>
      <w:r>
        <w:t>加强源头管控，改善声环境质量</w:t>
      </w:r>
      <w:bookmarkEnd w:id="213"/>
    </w:p>
    <w:p>
      <w:pPr>
        <w:pStyle w:val="40"/>
      </w:pPr>
      <w:bookmarkStart w:id="215" w:name="_Toc156576432"/>
      <w:bookmarkStart w:id="216" w:name="_Toc154688953"/>
      <w:r>
        <w:t>一、提高声环境综合管理水平</w:t>
      </w:r>
      <w:bookmarkEnd w:id="215"/>
      <w:bookmarkEnd w:id="216"/>
    </w:p>
    <w:p>
      <w:pPr>
        <w:snapToGrid w:val="0"/>
        <w:spacing w:line="560" w:lineRule="exact"/>
        <w:ind w:firstLineChars="200" w:firstLine="560"/>
      </w:pPr>
      <w:r>
        <w:t>全面落实省级噪声污染防治行动计划的相关部署，在制定国土空间规划及交通运输等相关规划时，充分考虑建设项目和区域开发改造所产生的噪声对周围生活环境影响。强化声环境功能区管理，开展声环境功能区评估与调整。加强建筑物隔声性能要求，建立新建住宅隔声性能验收和公示制度。推动区域声环境质量不达标板块制定实施专项整治方案，切实改善区域声环境质量。</w:t>
      </w:r>
    </w:p>
    <w:p>
      <w:pPr>
        <w:pStyle w:val="40"/>
      </w:pPr>
      <w:bookmarkStart w:id="217" w:name="_Toc154688954"/>
      <w:bookmarkStart w:id="218" w:name="_Toc156576433"/>
      <w:r>
        <w:t>二、强化交通运输噪声污染治理</w:t>
      </w:r>
      <w:bookmarkEnd w:id="217"/>
      <w:bookmarkEnd w:id="218"/>
    </w:p>
    <w:p>
      <w:pPr>
        <w:snapToGrid w:val="0"/>
        <w:spacing w:line="560" w:lineRule="exact"/>
        <w:ind w:firstLineChars="200" w:firstLine="560"/>
      </w:pPr>
      <w:r>
        <w:t>合理规划地面交通设施与邻近建筑物布局，有效预防地面交通噪声污染。开展城市交通干线、机场等交通运输噪声影响调查，对于穿越噪声敏感建筑物集中区域的城市交通运输干线，加强噪声污染防控，完善隔声屏障建设。加强道路养护与管理，通过应用低噪声路面材料及技术、提升路面平整度、种植绿化带等综合措施降低道路交通噪声。</w:t>
      </w:r>
    </w:p>
    <w:p>
      <w:pPr>
        <w:pStyle w:val="40"/>
      </w:pPr>
      <w:bookmarkStart w:id="219" w:name="_Toc154688955"/>
      <w:bookmarkStart w:id="220" w:name="_Toc156576434"/>
      <w:r>
        <w:t>三、强化施工噪声污染防治</w:t>
      </w:r>
      <w:bookmarkEnd w:id="219"/>
      <w:bookmarkEnd w:id="220"/>
    </w:p>
    <w:p>
      <w:pPr>
        <w:snapToGrid w:val="0"/>
        <w:spacing w:line="560" w:lineRule="exact"/>
        <w:ind w:firstLineChars="200" w:firstLine="560"/>
      </w:pPr>
      <w:r>
        <w:t>以噪声环境敏感区域与敏感时段为重点，加强市政建设、建筑工地、道路施工等噪声污染防控。严格建筑施工噪声申报审批制度，严格实施建筑工地环保公告制度。严格夜间施工审批并向社会公开，鼓励采用低噪声施工设备和工艺。持续强化施工噪声执法监管，加强环境噪声信访调处。</w:t>
      </w:r>
    </w:p>
    <w:p>
      <w:pPr>
        <w:pStyle w:val="40"/>
      </w:pPr>
      <w:bookmarkStart w:id="221" w:name="_Toc156576435"/>
      <w:bookmarkStart w:id="222" w:name="_Toc154688956"/>
      <w:r>
        <w:t>四、落实社会生活和工业噪声污染防治</w:t>
      </w:r>
      <w:bookmarkEnd w:id="221"/>
      <w:bookmarkEnd w:id="222"/>
    </w:p>
    <w:p>
      <w:pPr>
        <w:snapToGrid w:val="0"/>
        <w:spacing w:line="560" w:lineRule="exact"/>
        <w:ind w:firstLineChars="200" w:firstLine="560"/>
      </w:pPr>
      <w:r>
        <w:t>加强对文化娱乐、商业经营、室内装修中社会生活噪声热点问题日常监管和集中治理，强化客货流集中区域噪声管理。倡导制定公共场所文明公约、社区噪声控制规约。强化固定设备噪声源管理，建立噪声污染源申报登记管理制度，严厉查处工业企业噪声排放超标行为。</w:t>
      </w:r>
    </w:p>
    <w:p>
      <w:pPr>
        <w:pStyle w:val="15"/>
        <w:numPr>
          <w:ilvl w:val="0"/>
          <w:numId w:val="4"/>
        </w:numPr>
        <w:spacing w:line="560" w:lineRule="exact"/>
        <w:jc w:val="center"/>
      </w:pPr>
      <w:bookmarkStart w:id="223" w:name="_Toc66431816"/>
      <w:bookmarkStart w:id="224" w:name="_Hlk60005020"/>
      <w:bookmarkStart w:id="225" w:name="_Toc156576436"/>
      <w:bookmarkEnd w:id="214"/>
      <w:r>
        <w:t>强化固废治理，</w:t>
      </w:r>
      <w:bookmarkEnd w:id="223"/>
      <w:bookmarkEnd w:id="224"/>
      <w:r>
        <w:t>切实防范环境风险</w:t>
      </w:r>
      <w:bookmarkEnd w:id="225"/>
    </w:p>
    <w:p>
      <w:pPr>
        <w:pStyle w:val="40"/>
      </w:pPr>
      <w:bookmarkStart w:id="226" w:name="_Toc156576437"/>
      <w:bookmarkStart w:id="227" w:name="_Toc154688958"/>
      <w:r>
        <w:t>一、推进固体废物污染防治</w:t>
      </w:r>
      <w:bookmarkEnd w:id="226"/>
      <w:bookmarkEnd w:id="227"/>
    </w:p>
    <w:p>
      <w:pPr>
        <w:spacing w:line="560" w:lineRule="exact"/>
        <w:ind w:firstLine="562"/>
      </w:pPr>
      <w:r>
        <w:rPr>
          <w:b/>
          <w:bCs/>
        </w:rPr>
        <w:t>推动固体废物源头减量。</w:t>
      </w:r>
      <w:r>
        <w:t>推进清洁生产，围绕垃圾分类、工业固废综合利用、建筑垃圾资源化利用等领域，推行产品全生命周期绿色管理。强化废水分质分流处理，减少污泥产生。提倡绿色构造、绿色施工、绿色装修，推动建筑垃圾源头减量。全面实施禁限塑制度，推广应用流通环节替代产品，推动快递、外卖行业包装“减塑”。推进化肥农药减量增效和农膜源头减量，加快农业“无废”绿色发展。</w:t>
      </w:r>
    </w:p>
    <w:p>
      <w:pPr>
        <w:spacing w:line="560" w:lineRule="exact"/>
        <w:ind w:firstLine="562"/>
      </w:pPr>
      <w:r>
        <w:rPr>
          <w:b/>
          <w:bCs/>
        </w:rPr>
        <w:t>提高固废综合利用水平。</w:t>
      </w:r>
      <w:r>
        <w:t>配合市级部门加快推动固废利用向精细化、大掺量、高附加值利用方向发展，鼓励一般工业固体废物资源化利用技术的研发和相关项目建设。做好工业固体废物分类收集、分区贮存、规范化管理，推动建筑垃圾分类利用。鼓励梅钢探索工业窑炉自行综合利用废铁质油桶、含油金属屑等危险废物，帮助小产废量企业解决危险废物转移处置难题。规范再生资源回收行业发展，打造“互联网+”回收模式。积极推广农药包装废弃物统一回收模式，加快推进农膜回收处置工作。</w:t>
      </w:r>
    </w:p>
    <w:p>
      <w:pPr>
        <w:spacing w:line="560" w:lineRule="exact"/>
        <w:ind w:firstLine="562"/>
      </w:pPr>
      <w:r>
        <w:rPr>
          <w:b/>
          <w:bCs/>
        </w:rPr>
        <w:t>推进生活垃圾分类收集。</w:t>
      </w:r>
      <w:r>
        <w:t>开展非正规垃圾堆放点整治，优化完善小区收集点配置，完成居民区垃圾分类集中投放设施改造提升，完成雨花台区垃圾分类贮存分拣中心工程建设。加强区级垃圾分类回收分拣场站数据归集监管，提升回收场站信息化管理水平。到2025年，生活垃圾分类集中处理率达100%。</w:t>
      </w:r>
    </w:p>
    <w:p>
      <w:pPr>
        <w:spacing w:line="560" w:lineRule="exact"/>
        <w:ind w:firstLine="562"/>
      </w:pPr>
      <w:r>
        <w:rPr>
          <w:b/>
          <w:bCs/>
        </w:rPr>
        <w:t>强化固废危废环境监管。</w:t>
      </w:r>
      <w:r>
        <w:t>依托“南京市智慧环保云平台”建设，系统整合危险废物、一般工业固废、生活垃圾、建筑垃圾、医疗废物等监管数据。积极参与“宁固废”系统建设，全面推行危废“二维码”电子标签。继续推进“清废”专项执法行动，全面整治固体废物非法堆存，严格监管固体废物跨区域转移行为。建立多部门信息共享和联动执法机制。</w:t>
      </w:r>
    </w:p>
    <w:p>
      <w:pPr>
        <w:spacing w:line="560" w:lineRule="exact"/>
        <w:ind w:firstLine="562"/>
      </w:pPr>
      <w:r>
        <w:rPr>
          <w:b/>
          <w:bCs/>
        </w:rPr>
        <w:t>打造梅山钢铁“无废园区”。</w:t>
      </w:r>
      <w:r>
        <w:t>开发尾矿利用新技术，推动梅山矿业建设“无尾矿山”。深入推进钢铁企业内部小循环，加大含铁尘泥自行综合利用，推进梅钢钢渣有压热焖等先进的固废处理技术改进。加快构建跨产业间的循环经济产业链，推动钢铁工业固体废物综合利用产品在建材、交通、化工、有色、农业、电磁材料等行业间的应用。利用冶炼炉窑协同处置城市固危废，探索构建钢铁生态圈共建、共享、共赢发展新模式。规划到2025年，梅山矿业建成“无尾矿山”，完成“无废园区”创建。</w:t>
      </w:r>
    </w:p>
    <w:p>
      <w:pPr>
        <w:pStyle w:val="40"/>
      </w:pPr>
      <w:bookmarkStart w:id="228" w:name="_Toc154688959"/>
      <w:bookmarkStart w:id="229" w:name="_Toc156576438"/>
      <w:r>
        <w:t>二、推进重金属污染防治</w:t>
      </w:r>
      <w:bookmarkEnd w:id="228"/>
      <w:bookmarkEnd w:id="229"/>
    </w:p>
    <w:p>
      <w:pPr>
        <w:spacing w:line="560" w:lineRule="exact"/>
        <w:ind w:firstLine="562"/>
      </w:pPr>
      <w:r>
        <w:rPr>
          <w:b/>
          <w:bCs/>
        </w:rPr>
        <w:t>持续推进重金属污染减排。</w:t>
      </w:r>
      <w:r>
        <w:t>严格涉重金属企业环境准入，新（改、扩）建涉重金属重点行业建设项目严格落实重点重金属污染排放“减量置换”或“等量替换”。完善涉重金属重点行业企业清单，依法依规纳入重点排污单位名录，推动实施重金属减排工程。</w:t>
      </w:r>
    </w:p>
    <w:p>
      <w:pPr>
        <w:spacing w:line="560" w:lineRule="exact"/>
        <w:ind w:firstLine="562"/>
      </w:pPr>
      <w:r>
        <w:rPr>
          <w:b/>
          <w:bCs/>
        </w:rPr>
        <w:t>实施重金属全过程监管。</w:t>
      </w:r>
      <w:r>
        <w:t>从生产环节污染防控向流通、消费及废弃物回收处置等环节全面延伸，探索建立重金属全生命周期污染防控体系。对产生和排放重金属的企业实行在线自动监控，加强重金属应急物资储备。</w:t>
      </w:r>
    </w:p>
    <w:p>
      <w:pPr>
        <w:pStyle w:val="40"/>
      </w:pPr>
      <w:bookmarkStart w:id="230" w:name="_Toc156576439"/>
      <w:bookmarkStart w:id="231" w:name="_Toc154688960"/>
      <w:r>
        <w:t>三、加强环境风险源头防控</w:t>
      </w:r>
      <w:bookmarkEnd w:id="230"/>
      <w:bookmarkEnd w:id="231"/>
    </w:p>
    <w:p>
      <w:pPr>
        <w:spacing w:line="560" w:lineRule="exact"/>
        <w:ind w:firstLine="562"/>
      </w:pPr>
      <w:r>
        <w:rPr>
          <w:b/>
          <w:bCs/>
        </w:rPr>
        <w:t>强化重点环境风险源头防控。</w:t>
      </w:r>
      <w:r>
        <w:t>强化区域开发和项目建设的环境风险评价，对涉及有毒有害化学品、重金属和新型污染物的项目，实行严格的环境准入把关。加强涉危涉重企业环境风险调查评估，防范涉重企业关停搬迁过程中场地污染，强化对重金属、化学品、危险废物、持久性有机污染物等相关行业的全过程环境风险监管。严格涉塑建设项目审批。</w:t>
      </w:r>
    </w:p>
    <w:p>
      <w:pPr>
        <w:spacing w:line="560" w:lineRule="exact"/>
        <w:ind w:firstLine="562"/>
      </w:pPr>
      <w:r>
        <w:rPr>
          <w:b/>
          <w:bCs/>
        </w:rPr>
        <w:t>提高上游来水风险防控能力。</w:t>
      </w:r>
      <w:r>
        <w:t>加强入境河流管理，建立跨境断面联合监测考评机制。加强跨境断面水质监测，建立跨界断面水质信息共享机制。建立入境河流国考、省考、市考断面水质监测和定期考核。</w:t>
      </w:r>
    </w:p>
    <w:p>
      <w:pPr>
        <w:spacing w:line="560" w:lineRule="exact"/>
        <w:ind w:firstLine="562"/>
      </w:pPr>
      <w:r>
        <w:rPr>
          <w:b/>
          <w:bCs/>
        </w:rPr>
        <w:t>保障核与辐射环境安全。</w:t>
      </w:r>
      <w:r>
        <w:t>坚持“安全第一、质量第一”的根本方针，坚持审评从严、许可从严、监督从严、执法从严。严格按照国家和省市辐射建设项目审批的相关规定，进一步规范辖区内辐射建设项目审批备案，做好辐射安全许可证的延续换发。提高核与辐射环境安全监管水平。</w:t>
      </w:r>
    </w:p>
    <w:p>
      <w:pPr>
        <w:pStyle w:val="40"/>
      </w:pPr>
      <w:bookmarkStart w:id="232" w:name="_Toc154688961"/>
      <w:bookmarkStart w:id="233" w:name="_Toc156576440"/>
      <w:r>
        <w:t>四、健全环境风险应急体系</w:t>
      </w:r>
      <w:bookmarkEnd w:id="232"/>
      <w:bookmarkEnd w:id="233"/>
    </w:p>
    <w:p>
      <w:pPr>
        <w:spacing w:line="560" w:lineRule="exact"/>
        <w:ind w:firstLine="562"/>
      </w:pPr>
      <w:r>
        <w:rPr>
          <w:b/>
          <w:bCs/>
        </w:rPr>
        <w:t>加强环境应急与预案管理。</w:t>
      </w:r>
      <w:r>
        <w:t>强化全过程环境应急响应体系建设，确保“五个第一时间”落实到位。健全政府、园区、企业和跨区域河流突发环境事件应急预案体系，督促预案满三年的企事业单位及时更新备案、重大变更及时修编。到2025年，政府、部门、企业、园区、重点区域及流域突发生态环境事件应急预案实现应编尽编、应修皆修。</w:t>
      </w:r>
    </w:p>
    <w:p>
      <w:pPr>
        <w:spacing w:line="560" w:lineRule="exact"/>
        <w:ind w:firstLine="562"/>
      </w:pPr>
      <w:r>
        <w:rPr>
          <w:b/>
          <w:bCs/>
        </w:rPr>
        <w:t>健全环境风险预警与应急处置。</w:t>
      </w:r>
      <w:r>
        <w:t>持续开展环境安全隐患排查整治，落实环境风险防范措施，整合相关监测和应急处置资源，完善信息化技术体系和物资储备体系。建立健全重污染天气监测预警预报和应急响应体系，提升水上突发污染事故应急处置能力。健全基层环境应急机构，配备应急管理人员，持续健全区域间和部门间环境应急联动机制，加强应急演练。</w:t>
      </w:r>
    </w:p>
    <w:p>
      <w:pPr>
        <w:pStyle w:val="40"/>
      </w:pPr>
      <w:bookmarkStart w:id="234" w:name="_Toc154688962"/>
      <w:bookmarkStart w:id="235" w:name="_Toc156576441"/>
      <w:r>
        <w:t>五、开展新污染物管控治理</w:t>
      </w:r>
      <w:bookmarkEnd w:id="234"/>
      <w:bookmarkEnd w:id="235"/>
    </w:p>
    <w:p>
      <w:pPr>
        <w:spacing w:line="560" w:lineRule="exact"/>
        <w:ind w:firstLine="562"/>
      </w:pPr>
      <w:r>
        <w:rPr>
          <w:b/>
          <w:bCs/>
        </w:rPr>
        <w:t>筛查重点管控新污染物。</w:t>
      </w:r>
      <w:r>
        <w:t>开展重点管控、优先评估的新污染物在生产、加工、使用、储存、排放等环节的品种、数量、用途等基本信息调查。配合市在长江（南京段）重点流域等重点区域开展新污染物环境本底调查监测，开展精细化工等重点行业退役场地土壤和地下水中新污染物非靶向筛查监测研究，建立重点管控新污染物和企业清单。</w:t>
      </w:r>
    </w:p>
    <w:p>
      <w:pPr>
        <w:spacing w:line="560" w:lineRule="exact"/>
        <w:ind w:firstLine="562"/>
      </w:pPr>
      <w:r>
        <w:rPr>
          <w:b/>
          <w:bCs/>
        </w:rPr>
        <w:t>全过程减少新污染物产生。</w:t>
      </w:r>
      <w:r>
        <w:t>强化新化学物质环境管理登记，加强新化学物质日常环境监督管理，严格涉新污染物建设项目准入管理。全面落实国家环境标志产品和绿色产品标准、认证、标识体系中重点管控新污染物限值和禁用要求，全面推进清洁生产改造，加强抗生素类药品使用监管。</w:t>
      </w:r>
    </w:p>
    <w:p>
      <w:pPr>
        <w:spacing w:line="560" w:lineRule="exact"/>
        <w:ind w:firstLine="562"/>
        <w:sectPr>
          <w:headerReference w:type="default" r:id="rId5"/>
          <w:footerReference w:type="default" r:id="rId6"/>
          <w:pgSz w:w="11906" w:h="16838"/>
          <w:pgMar w:top="1440" w:right="1800" w:bottom="1440" w:left="1800" w:header="851" w:footer="992" w:gutter="0"/>
          <w:docGrid w:type="linesAndChars" w:linePitch="381" w:charSpace="0"/>
        </w:sectPr>
      </w:pPr>
      <w:r>
        <w:rPr>
          <w:b/>
          <w:bCs/>
        </w:rPr>
        <w:t>防范新污染物环境风险。</w:t>
      </w:r>
      <w:r>
        <w:t>将生产、加工使用或排放重点管控新污染物清单中所列化学物质的企事业单位纳入环境监管重点单位名录。督促、指导排放重点管控新污染物的企事业单位，落实污染控制措施和排污许可管理制度，依法公开新污染物信息。严格落实国家、省、市塑料污染治理行动方案有关要求，探索微塑料污染治理路径。</w:t>
      </w:r>
    </w:p>
    <w:p>
      <w:pPr>
        <w:pStyle w:val="39"/>
        <w:spacing w:beforeLines="0" w:before="190" w:afterLines="0" w:after="190" w:line="560" w:lineRule="exact"/>
      </w:pPr>
      <w:bookmarkStart w:id="236" w:name="_Toc156576442"/>
      <w:r>
        <w:t>落实分区管控，优化空间格局</w:t>
      </w:r>
      <w:bookmarkEnd w:id="236"/>
    </w:p>
    <w:p>
      <w:pPr>
        <w:pStyle w:val="15"/>
        <w:numPr>
          <w:ilvl w:val="0"/>
          <w:numId w:val="5"/>
        </w:numPr>
        <w:spacing w:line="560" w:lineRule="exact"/>
        <w:jc w:val="center"/>
      </w:pPr>
      <w:bookmarkStart w:id="237" w:name="_Toc156576443"/>
      <w:r>
        <w:t>全力守好生态空间底线</w:t>
      </w:r>
      <w:bookmarkEnd w:id="237"/>
    </w:p>
    <w:p>
      <w:pPr>
        <w:pStyle w:val="40"/>
      </w:pPr>
      <w:bookmarkStart w:id="238" w:name="_Hlk107404883"/>
      <w:bookmarkStart w:id="239" w:name="_Toc154688965"/>
      <w:bookmarkStart w:id="240" w:name="_Toc156576444"/>
      <w:bookmarkStart w:id="241" w:name="_Hlk107329816"/>
      <w:r>
        <w:t>一、严格实施空间用途管制</w:t>
      </w:r>
      <w:bookmarkEnd w:id="238"/>
      <w:bookmarkEnd w:id="239"/>
      <w:bookmarkEnd w:id="240"/>
    </w:p>
    <w:p>
      <w:pPr>
        <w:spacing w:line="560" w:lineRule="exact"/>
        <w:ind w:firstLineChars="200" w:firstLine="560"/>
      </w:pPr>
      <w:bookmarkStart w:id="242" w:name="_Hlk107404924"/>
      <w:bookmarkStart w:id="243" w:name="_Hlk107405571"/>
      <w:bookmarkEnd w:id="241"/>
      <w:r>
        <w:rPr>
          <w:b/>
          <w:bCs/>
        </w:rPr>
        <w:t>强化空间引导与管控</w:t>
      </w:r>
      <w:bookmarkEnd w:id="242"/>
      <w:r>
        <w:rPr>
          <w:b/>
          <w:bCs/>
        </w:rPr>
        <w:t>。</w:t>
      </w:r>
      <w:bookmarkStart w:id="244" w:name="_Hlk107404917"/>
      <w:bookmarkEnd w:id="243"/>
      <w:r>
        <w:t>积极配合南京市开展“三线一单”修编工作，以生态保护红线、环境质量底线、资源利用上线和环境准入负面清单为手段，强化空间、总量、准入环境管理。将生态保护红线作为空间管制要求，环境质量底线和资源利用上线作为容量管控和环境准入要求，以空间、总量和准入环境管控为切入点落实“三线一单”。</w:t>
      </w:r>
      <w:bookmarkEnd w:id="244"/>
      <w:r>
        <w:t>以“三线一单”确定的分区域、分阶段环境质量底线目标作为基本要求，从空间布局约束、污染物排放管控、环境风险防控、资源利用效率要求四个维度出发，建立各生态环境管控单元的环境准入负面清单，明确禁止和限制的环境准入要求，严格执行禁止和限制开发活动相关要求。</w:t>
      </w:r>
    </w:p>
    <w:p>
      <w:pPr>
        <w:spacing w:line="560" w:lineRule="exact"/>
        <w:ind w:firstLineChars="200" w:firstLine="560"/>
      </w:pPr>
      <w:r>
        <w:rPr>
          <w:b/>
          <w:bCs/>
        </w:rPr>
        <w:t>严守生态空间保护区域。</w:t>
      </w:r>
      <w:r>
        <w:t>严格执行江苏省生态管控区域规划，按要求做好国家级生态保护红线、省级生态管控区优化调整工作，确定边界范围，设立边界标志。严格落实生态空间保护区域管控要求，逐步建立完善遥感监测和地面监测相结合的生态空间管控区域监测网络体系，探索构建生态空间管控区域数字化监管平台，定期对生态保护红线和生态空间管控区域面积、功能、性质、生态环境质量、生物多样性等指标进行监测评估，开展科学研究，优化保护措施。设置管护岗位，建立常态化巡查、核查制度，强化日常巡查和管护，严格查处破坏生态空间违法行为。组织开展生态保护红线和生态空间管控区域保护的宣传教育和科学知识普及工作。</w:t>
      </w:r>
    </w:p>
    <w:p>
      <w:pPr>
        <w:spacing w:line="560" w:lineRule="exact"/>
        <w:ind w:firstLineChars="200" w:firstLine="560"/>
      </w:pPr>
      <w:r>
        <w:rPr>
          <w:b/>
          <w:bCs/>
        </w:rPr>
        <w:t>严格保护耕地与永久基本农田。</w:t>
      </w:r>
      <w:r>
        <w:t>严守耕地和永久基本农田保护红线，严格落实永久基本农田管控要求。已划定的永久基本农田不得随意占用和调整，重大建设项目选址确实难以避让的，必须按照相关法律法规办理。严控各类建设占用耕地，一般耕地不得转为其他农用地，规范落实耕地占补平衡，稳妥实施耕地进出平衡，采用易地代保等措施保障落实耕地保护任务。在符合法律法规前提下，统筹安排各类设施农业、观光农业布局。保护耕地生态功能，实施耕地种植用途管控。</w:t>
      </w:r>
    </w:p>
    <w:p>
      <w:pPr>
        <w:spacing w:line="560" w:lineRule="exact"/>
        <w:ind w:firstLineChars="200" w:firstLine="560"/>
        <w:rPr>
          <w:b/>
          <w:bCs/>
        </w:rPr>
      </w:pPr>
      <w:r>
        <w:rPr>
          <w:b/>
          <w:bCs/>
        </w:rPr>
        <w:t>严守城镇开发边界。</w:t>
      </w:r>
      <w:r>
        <w:t>在优先划定耕地和永久基本农田、生态保护红线的基础上，以主体功能区定位为导向，依托现状城镇建设基础，延续“一廊两轴四片”空间格局，衔接全市“中心城区、新城、新市镇”城镇体系，优化城镇布局形态。落实节约集约用地要求，提高城镇建设用地集约化水平；城镇开发边界内可进行城镇集中开发建设，重点完善城镇功能，引导城镇建设用地向边界内集聚，土地投放向边界内集中，推动城镇紧凑集约发展。</w:t>
      </w:r>
    </w:p>
    <w:p>
      <w:pPr>
        <w:pStyle w:val="40"/>
      </w:pPr>
      <w:bookmarkStart w:id="245" w:name="_Toc156576445"/>
      <w:bookmarkStart w:id="246" w:name="_Toc154688966"/>
      <w:r>
        <w:t>二、加快构建国土空间布局发展</w:t>
      </w:r>
      <w:bookmarkEnd w:id="245"/>
    </w:p>
    <w:p>
      <w:pPr>
        <w:spacing w:line="560" w:lineRule="exact"/>
        <w:ind w:firstLineChars="200" w:firstLine="560"/>
      </w:pPr>
      <w:r>
        <w:t>构建稳定安全的生态保护格局。以长江大保护为主线，以国土空间规划实施和生态修复为抓手，加快构建多层次、成网络、功能复合的生态网络框架。充分发挥雨花台区优质的山水生态资源价值，塑造山清水秀的生态空间，构建层次丰富、安全稳固、山水城市融合的生态空间格局</w:t>
      </w:r>
      <w:r>
        <w:rPr>
          <w:rFonts w:hint="eastAsia"/>
        </w:rPr>
        <w:t>。</w:t>
      </w:r>
      <w:r>
        <w:t>转空间阻隔为生态优势，提升生态产品价值，构建生态与游憩功能相融合的绿色空间体系。</w:t>
      </w:r>
    </w:p>
    <w:p>
      <w:pPr>
        <w:pStyle w:val="45"/>
        <w:spacing w:line="560" w:lineRule="exact"/>
        <w:rPr>
          <w:rFonts w:eastAsia="方正仿宋_GBK"/>
          <w:szCs w:val="21"/>
        </w:rPr>
      </w:pPr>
      <w:r>
        <w:rPr>
          <w:rFonts w:eastAsia="方正仿宋_GBK"/>
          <w:szCs w:val="21"/>
        </w:rPr>
        <w:t>发挥主城南部重要生态节点的优势，彰显山水人文禀赋，推动创新要素、宜居需求及生态资源全面整合，推进“生产、生活、生态”的深度融合，以提升城市治理现代化水平与社会治理能力为抓手，盘活低效空间资源，优化板块功能布局，提高人居环境品质，基于山水本底营造绿色共享创新空间，将雨花打造成为山水网络融贯、城市郊野融合，普惠化、智慧化的幸福宜居高地。</w:t>
      </w:r>
    </w:p>
    <w:p>
      <w:pPr>
        <w:pStyle w:val="40"/>
      </w:pPr>
      <w:bookmarkStart w:id="247" w:name="_Toc156576446"/>
      <w:r>
        <w:t>三、持续推进片区协调发展</w:t>
      </w:r>
      <w:bookmarkEnd w:id="246"/>
      <w:bookmarkEnd w:id="247"/>
    </w:p>
    <w:p>
      <w:pPr>
        <w:spacing w:line="560" w:lineRule="exact"/>
        <w:ind w:firstLineChars="200" w:firstLine="560"/>
      </w:pPr>
      <w:r>
        <w:t>加强全区统筹，深化空间结构调整与功能内涵提升，从产业、居住、服务等方面逐步推进全域均衡发展与产城融合，实现各功能片区融合联动。重点推进主城融合发展区与秦淮区、</w:t>
      </w:r>
      <w:r>
        <w:rPr>
          <w:rFonts w:hint="eastAsia"/>
        </w:rPr>
        <w:t>建邺区</w:t>
      </w:r>
      <w:r>
        <w:t>、江宁区交界区域的功能协同、风貌协调，强化交通联络，实现一体化融合发展；促进滨江生态协调区融入全市拥江发展格局，推动岸线功能协同、滨江风貌和谐，加强一江两岸生态保护协同治理；重点推进南郊山林生态协调区生态管控、景观体系、游憩设施配置协同。重点推进乡村振兴协调区——大方社区村庄与江宁区谷里街道乡村建设与风貌协同，共同打造都市田园融合区。促进南部都市发展协调区基础设施协同建设、公共服务设施共建共享、城市功能有机融合。</w:t>
      </w:r>
    </w:p>
    <w:p>
      <w:pPr>
        <w:pStyle w:val="40"/>
      </w:pPr>
      <w:bookmarkStart w:id="248" w:name="_Toc154688967"/>
      <w:bookmarkStart w:id="249" w:name="_Toc156576447"/>
      <w:r>
        <w:t>四、促进用地集约高效利用</w:t>
      </w:r>
      <w:bookmarkEnd w:id="248"/>
      <w:bookmarkEnd w:id="249"/>
    </w:p>
    <w:p>
      <w:pPr>
        <w:spacing w:line="560" w:lineRule="exact"/>
        <w:ind w:firstLineChars="200" w:firstLine="560"/>
      </w:pPr>
      <w:r>
        <w:t>围绕高质量发展，坚持提升存量与优化增量并重，强化“三生空间”的精细化管理，盘活闲置土地和低效产业等存量资源，促进存量资源提质增效，提高空间利用效率。以增强区域核心竞争力为导向，推动高端要素集聚，促进产业功能区合理分工协作，实现土地资源更集约、更高效、更可持续的高质量利用。加强土地利用计划管理，完善国家、省、市重大项目用地计划保障机制，提升“多规合一”协同平台功能，推动“项目选址跟着规划走，土地要素跟着项目走”，实现重大项目应保尽保。围绕“四高”城市建设任务，统筹划定要素差异化投放区域，引导新增建设用地倾斜保障城市近期重点发展区域和建成区“插花地”开发建设，支持更新改造和“零星地块”功能完善，促进城市集约集聚发展。</w:t>
      </w:r>
    </w:p>
    <w:p>
      <w:pPr>
        <w:pStyle w:val="15"/>
        <w:numPr>
          <w:ilvl w:val="0"/>
          <w:numId w:val="5"/>
        </w:numPr>
        <w:spacing w:line="560" w:lineRule="exact"/>
        <w:jc w:val="center"/>
      </w:pPr>
      <w:bookmarkStart w:id="250" w:name="_Toc117683731"/>
      <w:bookmarkStart w:id="251" w:name="_Toc156576448"/>
      <w:r>
        <w:t>合理优化生态安全格局</w:t>
      </w:r>
      <w:bookmarkEnd w:id="250"/>
      <w:bookmarkEnd w:id="251"/>
    </w:p>
    <w:p>
      <w:pPr>
        <w:pStyle w:val="40"/>
      </w:pPr>
      <w:bookmarkStart w:id="252" w:name="_Toc154688969"/>
      <w:bookmarkStart w:id="253" w:name="_Toc156576449"/>
      <w:bookmarkStart w:id="254" w:name="_Toc117683732"/>
      <w:r>
        <w:t>一、优化总体空间新格局</w:t>
      </w:r>
      <w:bookmarkEnd w:id="252"/>
      <w:bookmarkEnd w:id="253"/>
      <w:bookmarkEnd w:id="254"/>
    </w:p>
    <w:p>
      <w:pPr>
        <w:autoSpaceDE w:val="0"/>
        <w:autoSpaceDN w:val="0"/>
        <w:adjustRightInd w:val="0"/>
        <w:spacing w:line="560" w:lineRule="exact"/>
        <w:ind w:firstLineChars="200" w:firstLine="560"/>
        <w:rPr>
          <w:szCs w:val="28"/>
        </w:rPr>
      </w:pPr>
      <w:r>
        <w:rPr>
          <w:szCs w:val="28"/>
        </w:rPr>
        <w:t>严格执行土地征收成片开发标准，探索成片开发新模式，按照征收一片、建设一片、建成一片的总体要求，加快优化城市功能结构，融入生态底色，建设“一廊两轴四片”城市发展新格局。</w:t>
      </w:r>
    </w:p>
    <w:p>
      <w:pPr>
        <w:autoSpaceDE w:val="0"/>
        <w:autoSpaceDN w:val="0"/>
        <w:adjustRightInd w:val="0"/>
        <w:spacing w:line="560" w:lineRule="exact"/>
        <w:ind w:firstLineChars="200" w:firstLine="560"/>
        <w:rPr>
          <w:szCs w:val="28"/>
        </w:rPr>
      </w:pPr>
      <w:r>
        <w:rPr>
          <w:b/>
          <w:szCs w:val="28"/>
        </w:rPr>
        <w:t>“一廊”：</w:t>
      </w:r>
      <w:r>
        <w:rPr>
          <w:szCs w:val="28"/>
        </w:rPr>
        <w:t>“三桥—南郊—云台山城市级生态廊道”落实南京市生态安全格局要求，构建三桥—南郊—云台山城市级生态廊道，持续推进廊道内生态修复与综合整治，打造生态涵养保障、都市文旅休闲新绿廊。</w:t>
      </w:r>
    </w:p>
    <w:p>
      <w:pPr>
        <w:autoSpaceDE w:val="0"/>
        <w:autoSpaceDN w:val="0"/>
        <w:adjustRightInd w:val="0"/>
        <w:spacing w:line="560" w:lineRule="exact"/>
        <w:ind w:firstLineChars="200" w:firstLine="560"/>
        <w:rPr>
          <w:szCs w:val="28"/>
        </w:rPr>
      </w:pPr>
      <w:r>
        <w:rPr>
          <w:b/>
          <w:szCs w:val="28"/>
        </w:rPr>
        <w:t>“两轴”：</w:t>
      </w:r>
      <w:r>
        <w:rPr>
          <w:szCs w:val="28"/>
        </w:rPr>
        <w:t>“滨江高质量发展轴”与“秦淮新河城市发展轴滨江高质量发展轴”融入全市拥江发展整体格局，着力推进岸线环境整治与生态修复，推动产业转型升级和城市功能导入，加强滨江区域功能集聚，建设绿色、人文、智慧的雨花新滨江。“秦淮新河城市发展轴”衔接秦淮新河百里风光带一体化建设要求，重点突出人文景观与城市休闲功能；加强一河两岸城市功能协调，打造“生产、生活、生态”相融合的滨水特色城市空间。</w:t>
      </w:r>
    </w:p>
    <w:p>
      <w:pPr>
        <w:autoSpaceDE w:val="0"/>
        <w:autoSpaceDN w:val="0"/>
        <w:adjustRightInd w:val="0"/>
        <w:spacing w:line="560" w:lineRule="exact"/>
        <w:ind w:firstLineChars="200" w:firstLine="560"/>
        <w:rPr>
          <w:szCs w:val="28"/>
        </w:rPr>
      </w:pPr>
      <w:r>
        <w:rPr>
          <w:b/>
          <w:szCs w:val="28"/>
        </w:rPr>
        <w:t>“四片”：</w:t>
      </w:r>
      <w:r>
        <w:rPr>
          <w:szCs w:val="28"/>
        </w:rPr>
        <w:t>“东部枢纽提升片”：大力激活南站枢纽带动能力，发挥枢纽经济与数字经济叠加效应，完善公共服务设施，大力提升城市建设品质，推进枢纽设施、枢纽产业、枢纽功能融合发展，提升在雨花台区经济增长与城市发展中的引擎作用和门户功能。“中部数字创新片”：加快软件谷北园、南园跨秦淮新河融合发展，进一步提升产业能级，推动现有产业高端化、品牌化发展，打造数字地标、产业地标，推动软件谷向数字谷转型升级。“西部滨江转型片”：紧跟全市拥江发展格局，加快推进产业升级、岸线功能转型、服务功能完善、城市风貌提升，打造现代化滨江新城区。“南部智造培育片”：结合梅钢片区转型升级，以产业社区理念高起点规划建设南部都市工业园，打造产业集聚新高地、产城融合新典范。</w:t>
      </w:r>
    </w:p>
    <w:p>
      <w:pPr>
        <w:pStyle w:val="40"/>
      </w:pPr>
      <w:bookmarkStart w:id="255" w:name="_Toc156576450"/>
      <w:bookmarkStart w:id="256" w:name="_Toc117683733"/>
      <w:bookmarkStart w:id="257" w:name="_Toc154688970"/>
      <w:r>
        <w:t>二、完善生态廊道体系建设</w:t>
      </w:r>
      <w:bookmarkEnd w:id="255"/>
      <w:bookmarkEnd w:id="256"/>
      <w:bookmarkEnd w:id="257"/>
    </w:p>
    <w:p>
      <w:pPr>
        <w:pStyle w:val="38"/>
        <w:tabs>
          <w:tab w:val="left" w:pos="1395"/>
        </w:tabs>
        <w:spacing w:line="560" w:lineRule="exact"/>
        <w:rPr>
          <w:szCs w:val="28"/>
        </w:rPr>
      </w:pPr>
      <w:r>
        <w:rPr>
          <w:szCs w:val="28"/>
        </w:rPr>
        <w:t>落实市生态安全格局要求，以生态保护红线、区内重要生态空间要素为基础，形成“安全屏障+水绿廊道+服务核心”的“点线面”生态安全格局，保护生态屏障、促进廊道联通、优化节点布局。</w:t>
      </w:r>
    </w:p>
    <w:p>
      <w:pPr>
        <w:pStyle w:val="38"/>
        <w:tabs>
          <w:tab w:val="left" w:pos="1395"/>
        </w:tabs>
        <w:spacing w:line="560" w:lineRule="exact"/>
        <w:rPr>
          <w:szCs w:val="28"/>
        </w:rPr>
      </w:pPr>
      <w:r>
        <w:rPr>
          <w:b/>
          <w:bCs/>
          <w:szCs w:val="28"/>
        </w:rPr>
        <w:t>生态安全屏障：</w:t>
      </w:r>
      <w:r>
        <w:rPr>
          <w:szCs w:val="28"/>
        </w:rPr>
        <w:t>长江、南郊山林公园片区，是全区最重要的生态基底和生态屏障，加强生态保护和生态保育。</w:t>
      </w:r>
    </w:p>
    <w:p>
      <w:pPr>
        <w:pStyle w:val="38"/>
        <w:tabs>
          <w:tab w:val="left" w:pos="1395"/>
        </w:tabs>
        <w:spacing w:line="560" w:lineRule="exact"/>
        <w:rPr>
          <w:szCs w:val="28"/>
        </w:rPr>
      </w:pPr>
      <w:r>
        <w:rPr>
          <w:b/>
          <w:bCs/>
          <w:szCs w:val="28"/>
        </w:rPr>
        <w:t>水绿廊道：</w:t>
      </w:r>
      <w:r>
        <w:rPr>
          <w:szCs w:val="28"/>
        </w:rPr>
        <w:t>依托南河、秦淮新河、板桥河、工农河、江宁河等水系廊道以及绕城公路、绕城高速、机场高速等绿化防护带，形成全区生态空间网络主轴。廊道内原则上不得开展有损主体生态功能的开发建设活动，可适当兼容游憩、景观及基础设施等功能。</w:t>
      </w:r>
    </w:p>
    <w:p>
      <w:pPr>
        <w:pStyle w:val="38"/>
        <w:tabs>
          <w:tab w:val="left" w:pos="1395"/>
        </w:tabs>
        <w:spacing w:line="560" w:lineRule="exact"/>
        <w:rPr>
          <w:szCs w:val="28"/>
        </w:rPr>
      </w:pPr>
      <w:r>
        <w:rPr>
          <w:b/>
          <w:bCs/>
          <w:szCs w:val="28"/>
        </w:rPr>
        <w:t>生态服务核心：</w:t>
      </w:r>
      <w:r>
        <w:rPr>
          <w:szCs w:val="28"/>
        </w:rPr>
        <w:t>依托雨花台、菊花台、花神湖、雨花城市公园、岱山、大胜关长江文化公园、莲花湖、三山矶、江宁河沿岸、板桥生态园等大型城市公园和郊野公园，生态修复与合理利用相结合，打造区内重要的生态服务和休闲游憩空间。推进森林公园等自然保护地、种质资源保护区等重点生态地区建设，守住自然生态安全边界。</w:t>
      </w:r>
    </w:p>
    <w:p>
      <w:pPr>
        <w:pStyle w:val="15"/>
        <w:numPr>
          <w:ilvl w:val="0"/>
          <w:numId w:val="5"/>
        </w:numPr>
        <w:spacing w:line="560" w:lineRule="exact"/>
        <w:jc w:val="center"/>
      </w:pPr>
      <w:bookmarkStart w:id="258" w:name="_Toc156576451"/>
      <w:r>
        <w:t>大力实施生态保护修复</w:t>
      </w:r>
      <w:bookmarkEnd w:id="258"/>
    </w:p>
    <w:p>
      <w:pPr>
        <w:pStyle w:val="40"/>
        <w:rPr>
          <w:sz w:val="30"/>
          <w:szCs w:val="30"/>
        </w:rPr>
      </w:pPr>
      <w:bookmarkStart w:id="259" w:name="_Toc154688972"/>
      <w:bookmarkStart w:id="260" w:name="_Toc156576452"/>
      <w:r>
        <w:t>一、实施山水林田湖草生态保护和修复</w:t>
      </w:r>
      <w:bookmarkEnd w:id="259"/>
      <w:bookmarkEnd w:id="260"/>
    </w:p>
    <w:p>
      <w:pPr>
        <w:pStyle w:val="38"/>
        <w:spacing w:line="560" w:lineRule="exact"/>
        <w:rPr>
          <w:bCs/>
        </w:rPr>
      </w:pPr>
      <w:r>
        <w:rPr>
          <w:bCs/>
        </w:rPr>
        <w:t>以生态保护红线、区内重要生态空间要素为基础，加强长江、南郊山林公园片区等生态屏障的保护和保育，促进南河、秦淮新河、板桥河、工农河、江宁河等水系廊道以及绕城公路、绕城高速、机场高速等绿化防护生态廊道的联通，推进雨花台、菊花台、花神湖、雨花城市公园、岱山、大胜关长江文化公园、莲花湖、三山矶、江宁河沿岸、板桥生态园等生态服务核心的建设，稳固“安全屏障+水绿廊道+服务核心”的“点线面”生态安全格局。推进自然保护地整合优化，构建以自然保护区为主体，风景名胜区、森林公园、湿地公园等自然公园为基础的自然保护地体系。</w:t>
      </w:r>
    </w:p>
    <w:p>
      <w:pPr>
        <w:pStyle w:val="38"/>
        <w:spacing w:line="560" w:lineRule="exact"/>
        <w:rPr>
          <w:bCs/>
        </w:rPr>
      </w:pPr>
      <w:r>
        <w:rPr>
          <w:bCs/>
        </w:rPr>
        <w:t>根据省市统一部署，持续配合开展“绿盾”自然保护地监督检查专项行动，强化自然保护地生态环境监管，全面排查区内破坏风景名胜区、森林公园、湿地公园等自然保护地生态环境的违法违规行为，推进发现问题的整改。</w:t>
      </w:r>
    </w:p>
    <w:p>
      <w:pPr>
        <w:pStyle w:val="40"/>
      </w:pPr>
      <w:bookmarkStart w:id="261" w:name="_Toc154688973"/>
      <w:bookmarkStart w:id="262" w:name="_Toc156576453"/>
      <w:r>
        <w:t>二、保护修复湿地系统</w:t>
      </w:r>
      <w:bookmarkEnd w:id="261"/>
      <w:bookmarkEnd w:id="262"/>
    </w:p>
    <w:p>
      <w:pPr>
        <w:pStyle w:val="38"/>
        <w:spacing w:line="560" w:lineRule="exact"/>
        <w:rPr>
          <w:bCs/>
        </w:rPr>
      </w:pPr>
      <w:r>
        <w:rPr>
          <w:bCs/>
        </w:rPr>
        <w:t>统筹土地资源、水资源、森林资源、湿地资源、矿产资源等各类资源的保护与利用，推进湿地资源与水资源协同保护，维护湿地功能，改善湿地环境，促进湿地资源可持续发展。以长江江滩、秦淮河等自然湿地保护为重点，强化湿地生态系统保护。落实长江沼泽湿地修复工程，加强连通性恢复，开展退化湿地修复、湿地植被修复，提升长江湿地生态功能。按市要求推动秦淮新河、板桥河等河道缓冲带生态保护修复，采取河道疏浚、生态清淤、生态驳岸营造、滨岸植被恢复等措施，恢复水系自然连通性和流动性，修复湿地生态系统功能，逐步建立稳定高质的湿地生态系统。完成市下达任务，创建雨花三桥湿地生态修复基地建设示范项目。</w:t>
      </w:r>
    </w:p>
    <w:p>
      <w:pPr>
        <w:pStyle w:val="40"/>
      </w:pPr>
      <w:bookmarkStart w:id="263" w:name="_Toc156576454"/>
      <w:bookmarkStart w:id="264" w:name="_Toc154688974"/>
      <w:r>
        <w:t>三、推进生态安全缓冲区建设</w:t>
      </w:r>
      <w:bookmarkEnd w:id="263"/>
      <w:bookmarkEnd w:id="264"/>
    </w:p>
    <w:p>
      <w:pPr>
        <w:spacing w:line="560" w:lineRule="exact"/>
        <w:ind w:firstLine="562"/>
        <w:rPr>
          <w:bCs/>
        </w:rPr>
      </w:pPr>
      <w:r>
        <w:t>依据《江苏省生态安全缓冲区建设管理办法》，综合考虑区域发展本底和生态环境现状，开展生态安全缓冲区建设，不断扩大建设范围，推动生态缓冲区向生态涵养型、生态保护型及生态修复型发展。以“政府引导、市场主导、生态环境监督参与”为原则，完善政府统一规划、资金筹集、运行管理等制度规范，理顺生态安全缓冲区的管理、运行和监管体制，形成多元化的投融资机制。</w:t>
      </w:r>
    </w:p>
    <w:p>
      <w:pPr>
        <w:pStyle w:val="40"/>
      </w:pPr>
      <w:bookmarkStart w:id="265" w:name="_Toc156576455"/>
      <w:bookmarkStart w:id="266" w:name="_Toc154688975"/>
      <w:r>
        <w:t>四、实施“城绿相融”工程</w:t>
      </w:r>
      <w:bookmarkEnd w:id="265"/>
      <w:bookmarkEnd w:id="266"/>
    </w:p>
    <w:p>
      <w:pPr>
        <w:pStyle w:val="38"/>
        <w:spacing w:line="560" w:lineRule="exact"/>
        <w:rPr>
          <w:bCs/>
        </w:rPr>
      </w:pPr>
      <w:r>
        <w:rPr>
          <w:bCs/>
        </w:rPr>
        <w:t>统筹城市公园规划布局，提升休闲游憩设施配置标准和水平，构筑布局合理、层次丰富、生物多样、景观优美、特色鲜明的城市绿地系统，建设高质量的生态城市和风景中的城。开展国土绿化行动，实现“适地适树、三季有花、四季常青”的绿化目标，提升生态系统碳汇能力。推进牛首山、将军山低效林改造。建设公园城市，升级城市绿地、城市公园、湿地公园和森林公园，着力打造雨花城市公园，建设雨花南路沿线绿道工程等绿化项目，构建蓝绿交织的“生态雨花”。</w:t>
      </w:r>
    </w:p>
    <w:p>
      <w:pPr>
        <w:pStyle w:val="40"/>
      </w:pPr>
      <w:bookmarkStart w:id="267" w:name="_Toc156576456"/>
      <w:bookmarkStart w:id="268" w:name="_Toc154688976"/>
      <w:r>
        <w:t>五、开展矿山生态修复</w:t>
      </w:r>
      <w:bookmarkEnd w:id="267"/>
      <w:bookmarkEnd w:id="268"/>
    </w:p>
    <w:p>
      <w:pPr>
        <w:pStyle w:val="38"/>
        <w:spacing w:line="560" w:lineRule="exact"/>
        <w:rPr>
          <w:bCs/>
        </w:rPr>
      </w:pPr>
      <w:r>
        <w:rPr>
          <w:bCs/>
        </w:rPr>
        <w:t>以</w:t>
      </w:r>
      <w:r>
        <w:rPr>
          <w:rFonts w:hint="eastAsia"/>
          <w:bCs/>
        </w:rPr>
        <w:t>梅山矿业</w:t>
      </w:r>
      <w:r>
        <w:rPr>
          <w:bCs/>
        </w:rPr>
        <w:t>为重点，全面修复梅山矿区塌陷区及其周边区域，消除矿山地质灾害隐患，塌陷区经回填治理确保地质安全后可进行低影响的景观开发，提升城市山体景观，改善矿山生态环境。以EOD模式为策略导向，依托梅山矿坑、“互联网+创星”小镇及雨花红色资源，推进生态修复治理与创意文旅发展相结合，创新多样化生态文旅产品，打造滨江文旅生态品牌。</w:t>
      </w:r>
    </w:p>
    <w:p>
      <w:pPr>
        <w:pStyle w:val="15"/>
        <w:numPr>
          <w:ilvl w:val="0"/>
          <w:numId w:val="5"/>
        </w:numPr>
        <w:spacing w:line="560" w:lineRule="exact"/>
        <w:jc w:val="center"/>
      </w:pPr>
      <w:bookmarkStart w:id="269" w:name="_Toc156576457"/>
      <w:r>
        <w:t>提高生物多样性保护</w:t>
      </w:r>
      <w:bookmarkEnd w:id="269"/>
    </w:p>
    <w:p>
      <w:pPr>
        <w:pStyle w:val="40"/>
      </w:pPr>
      <w:bookmarkStart w:id="270" w:name="_Toc154688978"/>
      <w:bookmarkStart w:id="271" w:name="_Toc156576458"/>
      <w:r>
        <w:t>一、夯实生物多样性保护基础</w:t>
      </w:r>
      <w:bookmarkEnd w:id="270"/>
      <w:bookmarkEnd w:id="271"/>
    </w:p>
    <w:p>
      <w:pPr>
        <w:pStyle w:val="38"/>
        <w:spacing w:line="560" w:lineRule="exact"/>
        <w:rPr>
          <w:bCs/>
        </w:rPr>
      </w:pPr>
      <w:r>
        <w:rPr>
          <w:bCs/>
        </w:rPr>
        <w:t>开展生物多样性本底调查。配合开展生物多样性本底调查，全面摸清全区生物多样性状况，掌握长江江豚等珍稀物种的数量及分布情况，配合建立国家重点保护野生动植物等名册。启动重点河湖水生态调查评估工作，掌握长江支流、国省考断面等重点河湖的水生态状况，编制水生态评估方案与报告，制定河湖水生态保护与修复对策等。</w:t>
      </w:r>
    </w:p>
    <w:p>
      <w:pPr>
        <w:pStyle w:val="38"/>
        <w:spacing w:line="560" w:lineRule="exact"/>
        <w:rPr>
          <w:bCs/>
        </w:rPr>
      </w:pPr>
      <w:r>
        <w:rPr>
          <w:bCs/>
        </w:rPr>
        <w:t>建立“政府主导、属地责任，部门协同、联防联控”的工作机制，围绕外来入侵物种，采用专项整治行动和常态长效防除相结合方式进行治理，形成“统筹协调、科学防除、标本兼治、长效管控”的工作局面，有效遏制外来入侵物种扩散蔓延，确保生物安全和生态安全。</w:t>
      </w:r>
    </w:p>
    <w:p>
      <w:pPr>
        <w:pStyle w:val="40"/>
        <w:rPr>
          <w:sz w:val="30"/>
          <w:szCs w:val="30"/>
        </w:rPr>
      </w:pPr>
      <w:bookmarkStart w:id="272" w:name="_Toc156576459"/>
      <w:bookmarkStart w:id="273" w:name="_Toc154688979"/>
      <w:r>
        <w:t>二、联动保护珍稀濒危物种</w:t>
      </w:r>
      <w:bookmarkEnd w:id="272"/>
      <w:bookmarkEnd w:id="273"/>
    </w:p>
    <w:p>
      <w:pPr>
        <w:pStyle w:val="38"/>
        <w:spacing w:line="560" w:lineRule="exact"/>
        <w:rPr>
          <w:bCs/>
        </w:rPr>
      </w:pPr>
      <w:r>
        <w:rPr>
          <w:bCs/>
        </w:rPr>
        <w:t>实施生物多样性保护重点项目。开展生物多样性就地保护和珍稀濒危野生动植物拯救与保护，重点保护长江大胜关长吻鮠铜鱼水产种质资源、长江江豚等珍稀濒危物种及其栖息环境，依托江豚广场建设雨花生物多样性恢复和保护示范区。</w:t>
      </w:r>
    </w:p>
    <w:p>
      <w:pPr>
        <w:pStyle w:val="40"/>
        <w:rPr>
          <w:sz w:val="30"/>
          <w:szCs w:val="30"/>
        </w:rPr>
      </w:pPr>
      <w:bookmarkStart w:id="274" w:name="_Toc154688980"/>
      <w:bookmarkStart w:id="275" w:name="_Toc156576460"/>
      <w:r>
        <w:t>三、加强生物安全管理与防控</w:t>
      </w:r>
      <w:bookmarkEnd w:id="274"/>
      <w:bookmarkEnd w:id="275"/>
    </w:p>
    <w:p>
      <w:pPr>
        <w:pStyle w:val="38"/>
        <w:spacing w:line="560" w:lineRule="exact"/>
        <w:rPr>
          <w:bCs/>
        </w:rPr>
      </w:pPr>
      <w:r>
        <w:rPr>
          <w:bCs/>
        </w:rPr>
        <w:t>持续开展外来入侵物种调查、监测和预警，及时更新外来入侵物种名录。探索建立生物安全管理与应急处置机制，强化生物安全风险管控，定期开展生物安全风险评估，强化生物安全资源监管。建立外来入侵物种监测预警及风险管理机制，积极防治外来物种入侵。严肃查处违法违规的野生动物交易。</w:t>
      </w:r>
    </w:p>
    <w:p>
      <w:pPr>
        <w:pStyle w:val="15"/>
        <w:numPr>
          <w:ilvl w:val="0"/>
          <w:numId w:val="5"/>
        </w:numPr>
        <w:spacing w:line="560" w:lineRule="exact"/>
        <w:jc w:val="center"/>
      </w:pPr>
      <w:bookmarkStart w:id="276" w:name="_Toc156576461"/>
      <w:r>
        <w:t>加强长江岸线保护</w:t>
      </w:r>
      <w:bookmarkEnd w:id="276"/>
    </w:p>
    <w:p>
      <w:pPr>
        <w:pStyle w:val="40"/>
      </w:pPr>
      <w:bookmarkStart w:id="277" w:name="_Toc156576462"/>
      <w:bookmarkStart w:id="278" w:name="_Toc154688982"/>
      <w:r>
        <w:t>一、保护长江生态岸线</w:t>
      </w:r>
      <w:bookmarkEnd w:id="277"/>
      <w:bookmarkEnd w:id="278"/>
    </w:p>
    <w:p>
      <w:pPr>
        <w:pStyle w:val="38"/>
        <w:spacing w:line="560" w:lineRule="exact"/>
        <w:rPr>
          <w:bCs/>
        </w:rPr>
      </w:pPr>
      <w:r>
        <w:rPr>
          <w:bCs/>
        </w:rPr>
        <w:t>落实长江岸线保护和开发利用总体规划，统筹规划长江岸线资源，实行长江干流生态修复和开发总量控制，统筹岸线使用和陆域功能，优化提升干流岸线功能的复合使用，针对岸线现状利用与规划情况，将相关码头列入整顿规范类整改，后期结合产业和空间规划，制定逐步退出方案，逐步优化沿江岸线功能布局；将不符合规划的企业逐步拆迁腾退，保障后续建设按规划实施，加强环保督查，确保生态环境持续改善；实施防护林带建设和滨江岸线复绿增绿工程依托大胜关文化、滨江风貌、生态廊道资源,构建文化生态休闲游憩一体的滨水特色区域,建设步行桥、大胜关公园,引领滨江全面开发。对接洽谈主体搬迁意愿与诉求，有序引导大胜关码头段周边企业腾退转型；贯通三山矶滨江岸线,增强滨江公园吸引力,三山矶公园整体景观岸线升，对接洽谈主体搬迁意愿与诉求，有序引导三山工业园（滨江大道以西）企业腾退转型。到2030年，争取长江生态岸线保有率达50%以上。</w:t>
      </w:r>
    </w:p>
    <w:p>
      <w:pPr>
        <w:pStyle w:val="40"/>
      </w:pPr>
      <w:bookmarkStart w:id="279" w:name="_Toc154688983"/>
      <w:bookmarkStart w:id="280" w:name="_Toc156576463"/>
      <w:r>
        <w:t>二、构建长江生态监测系统</w:t>
      </w:r>
      <w:bookmarkEnd w:id="279"/>
      <w:bookmarkEnd w:id="280"/>
    </w:p>
    <w:p>
      <w:pPr>
        <w:pStyle w:val="38"/>
        <w:spacing w:line="560" w:lineRule="exact"/>
        <w:rPr>
          <w:bCs/>
        </w:rPr>
      </w:pPr>
      <w:r>
        <w:rPr>
          <w:bCs/>
        </w:rPr>
        <w:t>把修复长江生态环境摆在压倒性位置，坚持转产业、强配套、塑景观、严执法等多措并举，构建综合治理新体系。创新长江生态保护模式，通过智慧化手段治理长江，大力推广智慧水务一体化平台的应用、构建长江生态监测感知系统，扩大“智慧小屋”应用范围，对污染源、排污口进行排查整治，完成2座市控入江支流水质自动监测站建设，全面推进长江沿线码头、砂场、工业企业排污口水质在线监控系统全覆盖，为长江生态保护提供科技支撑。</w:t>
      </w:r>
    </w:p>
    <w:p>
      <w:pPr>
        <w:pStyle w:val="38"/>
        <w:spacing w:line="560" w:lineRule="exact"/>
        <w:rPr>
          <w:bCs/>
        </w:rPr>
      </w:pPr>
      <w:r>
        <w:rPr>
          <w:bCs/>
        </w:rPr>
        <w:t>建立长江雨花段生态保护联盟，逐步完善长江护鱼协管制度，加快推进人防+机防水陆联动一体防控机制，建立长江禁捕禁钓联合执法体系，着力落实长江江豚保护工作、突破岸线生态修复科技攻关中的共性关键技术难题。完成沿江1公里范围内化工企业整治任务，调整优化与长江生态保护不符的开发功能，进一步依托长江三大名矶和古金陵48景之一的三山矶，充分挖掘历史文脉，突出绿色生态和人文景观特质，积极打造江渡怀古景观区、山矶观光揽胜区、江滩湿地保育区、主题文化公园区以及坡地绿化缓冲区5个区域。</w:t>
      </w:r>
    </w:p>
    <w:p>
      <w:pPr>
        <w:pStyle w:val="40"/>
      </w:pPr>
      <w:bookmarkStart w:id="281" w:name="_Toc156576464"/>
      <w:bookmarkStart w:id="282" w:name="_Toc154688984"/>
      <w:r>
        <w:t>三、开展长江干流沿线执法</w:t>
      </w:r>
      <w:bookmarkEnd w:id="281"/>
      <w:bookmarkEnd w:id="282"/>
    </w:p>
    <w:p>
      <w:pPr>
        <w:pStyle w:val="38"/>
        <w:spacing w:line="560" w:lineRule="exact"/>
        <w:rPr>
          <w:bCs/>
        </w:rPr>
      </w:pPr>
      <w:r>
        <w:rPr>
          <w:bCs/>
        </w:rPr>
        <w:t>常态化开展长江生态环境问题自查自纠和“回头看”，全面排查关联性、衍生性和其他生态环境问题及风险隐患，建立完善滚动整改机制，确保问题整改不回潮反弹。</w:t>
      </w:r>
    </w:p>
    <w:p>
      <w:pPr>
        <w:pStyle w:val="38"/>
        <w:spacing w:line="560" w:lineRule="exact"/>
        <w:rPr>
          <w:bCs/>
        </w:rPr>
      </w:pPr>
      <w:r>
        <w:rPr>
          <w:bCs/>
        </w:rPr>
        <w:t>建成禁渔综合管理平台，落实网格化监管要求，明确“首违不罚”柔性执法模式，建设违法信息管理系统，构建技防为主、人防为辅，多部门协作快速反应的水陆空防控网，确保对违禁行为及时发现、及时处理。</w:t>
      </w:r>
    </w:p>
    <w:p>
      <w:pPr>
        <w:pStyle w:val="38"/>
        <w:spacing w:line="560" w:lineRule="exact"/>
        <w:rPr>
          <w:bCs/>
        </w:rPr>
        <w:sectPr>
          <w:headerReference w:type="default" r:id="rId7"/>
          <w:footerReference w:type="default" r:id="rId8"/>
          <w:pgSz w:w="11906" w:h="16838"/>
          <w:pgMar w:top="1440" w:right="1800" w:bottom="1440" w:left="1800" w:header="851" w:footer="992" w:gutter="0"/>
          <w:docGrid w:type="linesAndChars" w:linePitch="381" w:charSpace="0"/>
        </w:sectPr>
      </w:pPr>
      <w:r>
        <w:rPr>
          <w:bCs/>
        </w:rPr>
        <w:t>完善生态环境保护综合执法队伍建设，巩固长江干流岸线利用项目清理整治成效，按市要求加强岸线保护和开发利用活动的监督巡查，持续推进打击非法占用岸线及筑坝围堰等违法违规行为。</w:t>
      </w:r>
    </w:p>
    <w:p>
      <w:pPr>
        <w:pStyle w:val="39"/>
        <w:spacing w:line="560" w:lineRule="exact"/>
        <w:ind w:left="1680"/>
      </w:pPr>
      <w:bookmarkStart w:id="283" w:name="_Toc156576465"/>
      <w:r>
        <w:t>培育绿色动能，发展生态经济</w:t>
      </w:r>
      <w:bookmarkEnd w:id="283"/>
    </w:p>
    <w:p>
      <w:pPr>
        <w:pStyle w:val="15"/>
        <w:numPr>
          <w:ilvl w:val="0"/>
          <w:numId w:val="6"/>
        </w:numPr>
        <w:spacing w:line="560" w:lineRule="exact"/>
        <w:jc w:val="center"/>
      </w:pPr>
      <w:bookmarkStart w:id="284" w:name="_Toc156576466"/>
      <w:r>
        <w:t>推动能源绿色低碳转型</w:t>
      </w:r>
      <w:bookmarkEnd w:id="284"/>
    </w:p>
    <w:p>
      <w:pPr>
        <w:pStyle w:val="40"/>
      </w:pPr>
      <w:bookmarkStart w:id="285" w:name="_Toc154688987"/>
      <w:bookmarkStart w:id="286" w:name="_Toc156576467"/>
      <w:r>
        <w:t>一、严格控制能源消费总量</w:t>
      </w:r>
      <w:bookmarkEnd w:id="285"/>
      <w:bookmarkEnd w:id="286"/>
    </w:p>
    <w:p>
      <w:pPr>
        <w:pStyle w:val="53"/>
        <w:widowControl/>
        <w:spacing w:line="560" w:lineRule="exact"/>
      </w:pPr>
      <w:r>
        <w:t>严控新增耗煤项目，新、改、扩建项目实施煤炭等量减量替代，提高耗煤项目准入门槛。实施煤炭清洁替代，在工业、交通领域推进“以电代煤”“以电代油”。加大散煤治理力度，开展散煤非法销售治理专项行动。加强集中供热能力建设，合理规划增设公共热源点，除公用热电联产外禁止新建燃煤供热锅炉。加快推动热电企业整合，扩大集中供热范围。梅钢转型升级过渡期间，按照省市要求，持续做好控煤工作，减少铁前炼焦流程，推动燃煤机组高效利用、现役煤电机组提质增效、到期燃煤机组关停。</w:t>
      </w:r>
    </w:p>
    <w:p>
      <w:pPr>
        <w:pStyle w:val="40"/>
      </w:pPr>
      <w:bookmarkStart w:id="287" w:name="_Toc156576468"/>
      <w:bookmarkStart w:id="288" w:name="_Toc154688988"/>
      <w:r>
        <w:t>二、推进清洁能源和新能源利用</w:t>
      </w:r>
      <w:bookmarkEnd w:id="287"/>
      <w:bookmarkEnd w:id="288"/>
    </w:p>
    <w:p>
      <w:pPr>
        <w:pStyle w:val="53"/>
        <w:widowControl/>
        <w:spacing w:line="560" w:lineRule="exact"/>
      </w:pPr>
      <w:r>
        <w:t>优化天然气使用方式，新增天然气优先用于替代散煤，实现“增气减煤”。推进天然气热电联产项目建设和“煤改气”项目，鼓励发展天然气分布式能源高效利用项目，推进天然气储气设施建设。</w:t>
      </w:r>
    </w:p>
    <w:p>
      <w:pPr>
        <w:pStyle w:val="53"/>
        <w:widowControl/>
        <w:spacing w:line="560" w:lineRule="exact"/>
      </w:pPr>
      <w:r>
        <w:t>有序推进煤改气、油改气和终端电力替代工作，推广使用清洁油品，有序扩大天然气使用规模，鼓励使用新能源设备替代当前化石燃料运输设备和作业设备，利用厂房屋顶、公共停车场等平面资源建设光伏发电项目，合理配置储能装置，提高可再生能源电力消纳能力。</w:t>
      </w:r>
    </w:p>
    <w:p>
      <w:pPr>
        <w:pStyle w:val="15"/>
        <w:numPr>
          <w:ilvl w:val="0"/>
          <w:numId w:val="6"/>
        </w:numPr>
        <w:spacing w:line="560" w:lineRule="exact"/>
        <w:jc w:val="center"/>
      </w:pPr>
      <w:bookmarkStart w:id="289" w:name="_Toc156576469"/>
      <w:r>
        <w:t>推动产业绿色优化配置</w:t>
      </w:r>
      <w:bookmarkEnd w:id="289"/>
    </w:p>
    <w:p>
      <w:pPr>
        <w:pStyle w:val="40"/>
      </w:pPr>
      <w:bookmarkStart w:id="290" w:name="_Toc154688990"/>
      <w:bookmarkStart w:id="291" w:name="_Toc156576470"/>
      <w:r>
        <w:t>一、推动传统产业绿色转型</w:t>
      </w:r>
      <w:bookmarkEnd w:id="290"/>
      <w:bookmarkEnd w:id="291"/>
    </w:p>
    <w:p>
      <w:pPr>
        <w:pStyle w:val="38"/>
        <w:spacing w:line="560" w:lineRule="exact"/>
      </w:pPr>
      <w:bookmarkStart w:id="292" w:name="_Hlk91542689"/>
      <w:r>
        <w:t>推动产业绿色转型升级，明确“1+1”主导产业定位，大力发展人工智能等新兴产业，全面完成铸造等行业低端低效产能淘汰任务。能源结构持续优化，完成一批“煤改气”“煤改生物质”工程。工业布局进一步调整，严格落实长江经济带发展负面清单和“三线一单”生态环境分区管控实施方案，实施化工企业“四个一批”、化工产业安全环保整治提升工作。</w:t>
      </w:r>
      <w:r>
        <w:rPr>
          <w:rFonts w:hint="eastAsia"/>
        </w:rPr>
        <w:t>支持优质科技项目招引，开辟环评绿色通道。</w:t>
      </w:r>
    </w:p>
    <w:p>
      <w:pPr>
        <w:pStyle w:val="38"/>
        <w:spacing w:line="560" w:lineRule="exact"/>
      </w:pPr>
      <w:r>
        <w:t>聚焦电力、钢铁、包装印刷和工业涂装等重点行业企业，以能耗、环保、安全和技术等标准约束引导企业实施“绿色厂区”改造。培育宝之云梅山基地等绿色转型示范基地，打造“互联网+先进制造业”生态圈。</w:t>
      </w:r>
    </w:p>
    <w:p>
      <w:pPr>
        <w:pStyle w:val="40"/>
      </w:pPr>
      <w:bookmarkStart w:id="293" w:name="_Toc154688991"/>
      <w:bookmarkStart w:id="294" w:name="_Toc156576471"/>
      <w:r>
        <w:t>二、数字赋能发展都市工业</w:t>
      </w:r>
      <w:bookmarkEnd w:id="293"/>
      <w:bookmarkEnd w:id="294"/>
    </w:p>
    <w:p>
      <w:pPr>
        <w:spacing w:line="560" w:lineRule="exact"/>
        <w:ind w:firstLineChars="200" w:firstLine="560"/>
      </w:pPr>
      <w:r>
        <w:t>构建全域高新联动发展空间，打造“一核三极”数字经济产业空间格局，促进产业专业集聚、关联功能集中、区域联动发展。“一核”即依托中国（南京）软件谷打造数字经济核心区；“三极”包括依托南站片区打造枢纽经济先导极，依托雨花经济开发区打造智能创新增长极，依托板桥南部片区打造未来产业增长极。</w:t>
      </w:r>
    </w:p>
    <w:p>
      <w:pPr>
        <w:spacing w:line="560" w:lineRule="exact"/>
        <w:ind w:firstLineChars="200" w:firstLine="560"/>
      </w:pPr>
      <w:r>
        <w:t>以打造“聚焦总部型、行业领袖型、知识密集型”都市工业为目标，按照“拓展增量、优化存量”思路，不断扩展规模、提质增效。在雨花经济开发区和创业创新城片区，围绕轨道交通设备、智能硬件设备、高端电子元器件等产业方向，按照都市工业园区建设标准，实施土地转性和产业转型，将原有闲置存量厂房改建、扩建成开放型工业载体。积极谋划南部新型都市工业园建设，立足产业生态化发展理念，依托创新的“工业上楼”模式，提升容积率，加强土地集约化利用，布局集研发设计、组装测试等功能于一体的综合性载体，打造功能复合、产城融合的3.0“产业社区”，推进滨江智造经济区发展。数字赋能助力梅钢片区转型，按照共建高质量钢铁生态圈的战略要求，打造区域总部和科技创新中心，建设产业新城。</w:t>
      </w:r>
    </w:p>
    <w:p>
      <w:pPr>
        <w:pStyle w:val="40"/>
      </w:pPr>
      <w:bookmarkStart w:id="295" w:name="_Toc154688992"/>
      <w:bookmarkStart w:id="296" w:name="_Toc156576472"/>
      <w:r>
        <w:t>三、培育绿色战略</w:t>
      </w:r>
      <w:r>
        <w:rPr>
          <w:rFonts w:hint="eastAsia"/>
          <w:lang w:val="en-US" w:eastAsia="zh-CN"/>
        </w:rPr>
        <w:t>性</w:t>
      </w:r>
      <w:r>
        <w:t>新兴产业</w:t>
      </w:r>
      <w:bookmarkEnd w:id="295"/>
      <w:bookmarkEnd w:id="296"/>
    </w:p>
    <w:p>
      <w:pPr>
        <w:pStyle w:val="38"/>
        <w:spacing w:line="560" w:lineRule="exact"/>
      </w:pPr>
      <w:r>
        <w:t>着力打造数字引领、软硬结合的现代产业体系，以数字产业化为着力点，实现软件和信息服务业高端化发展，提升软件产业核心竞争力，建设通信软件及服务、信创软件、云计算与大数据、互联网服务、人工智能等方向的信息技术产业集群；以产业数字化为未来方向，强化数字经济对实体经济的赋能作用，围绕轨道交通设备、智能硬件设备、高端电子元器件等产业方向，加快发展新型都市工业。</w:t>
      </w:r>
    </w:p>
    <w:p>
      <w:pPr>
        <w:pStyle w:val="38"/>
        <w:spacing w:line="560" w:lineRule="exact"/>
      </w:pPr>
      <w:r>
        <w:t>依托数字引领、软硬结合的“1+2”现代产业体系，发挥软件谷作为国家数字服务出口基地的引领示范作用，做大做强通信软件、人工智能等优势产业，大力发展信创、芯片设计等新兴产业，重点支持人工智能、互联网+等专业化园区发展，打造区域产业发展新引擎。</w:t>
      </w:r>
    </w:p>
    <w:p>
      <w:pPr>
        <w:pStyle w:val="38"/>
        <w:spacing w:line="560" w:lineRule="exact"/>
      </w:pPr>
      <w:r>
        <w:t>以市场化为导向推动开发园区深化改革。推广“园中园”案例经验，着力营造“园区大环境+行业小环境”的产业生态，围绕雨花数字经济产业发展方向，以推动产业转型升级为目标，重点发展信创、人工智能、互联网+、金融科技、轨道交通装备等专业化园区，加速区内新兴产业领域创新企业聚集发展。瞄准专业化园区建设，打造产业基地的“发动机”和“核心区”，搭建园区内企业与周边大企业、研发机构的合作平台，从载体、产业链配套环境、政策、平台、团队五个方面加大建设力度，打造区域产业发展新引擎。软件和信息服务、人工智能等2条产业链培育打造至少1个聚焦细分领域的产业重点园区。</w:t>
      </w:r>
    </w:p>
    <w:p>
      <w:pPr>
        <w:pStyle w:val="40"/>
      </w:pPr>
      <w:bookmarkStart w:id="297" w:name="_Toc156576473"/>
      <w:bookmarkStart w:id="298" w:name="_Toc154688993"/>
      <w:r>
        <w:t>四、全面推行清洁生产</w:t>
      </w:r>
      <w:bookmarkEnd w:id="297"/>
      <w:bookmarkEnd w:id="298"/>
    </w:p>
    <w:p>
      <w:pPr>
        <w:spacing w:line="560" w:lineRule="exact"/>
        <w:ind w:firstLineChars="200" w:firstLine="560"/>
      </w:pPr>
      <w:r>
        <w:t>鼓励企业将清洁生产审核工作与企业污染源全过程环境管理、危险废物管理、碳减排等工作结合开展，提升全过程环境管理能力。鼓励低能耗产业发展，实施清洁能源产业化，因地制宜发展生物质能等清洁能源，到2025年，非化石能源占一次能源消费比重达市定目标。配合建设LNG储配站、天然气管道等基础能源项目，有序提高天然气占比，配合完善现代能源运储配网络，提升能源系统综合利用效率。</w:t>
      </w:r>
    </w:p>
    <w:p>
      <w:pPr>
        <w:spacing w:line="560" w:lineRule="exact"/>
        <w:ind w:firstLineChars="200" w:firstLine="560"/>
      </w:pPr>
      <w:r>
        <w:t>深入推进企业循环式生产、园区循环化改造、产业循环共生耦合体系建设，围绕垃圾分类、工业固废综合利用、建筑垃圾资源化利用等领域，促进生产过程废弃物和资源循环利用，实施一批循环经济工程项目。</w:t>
      </w:r>
    </w:p>
    <w:p>
      <w:pPr>
        <w:pStyle w:val="15"/>
        <w:numPr>
          <w:ilvl w:val="0"/>
          <w:numId w:val="6"/>
        </w:numPr>
        <w:spacing w:line="560" w:lineRule="exact"/>
        <w:jc w:val="center"/>
      </w:pPr>
      <w:bookmarkStart w:id="299" w:name="_Toc156576474"/>
      <w:bookmarkEnd w:id="292"/>
      <w:r>
        <w:t>推动现代产业融合创新发展</w:t>
      </w:r>
      <w:bookmarkEnd w:id="299"/>
    </w:p>
    <w:p>
      <w:pPr>
        <w:pStyle w:val="40"/>
      </w:pPr>
      <w:bookmarkStart w:id="300" w:name="_Toc156576475"/>
      <w:bookmarkStart w:id="301" w:name="_Toc154688995"/>
      <w:r>
        <w:t>一、强化双创示范基地互动交流</w:t>
      </w:r>
      <w:bookmarkEnd w:id="300"/>
      <w:bookmarkEnd w:id="301"/>
    </w:p>
    <w:p>
      <w:pPr>
        <w:spacing w:line="560" w:lineRule="exact"/>
        <w:ind w:firstLine="482"/>
      </w:pPr>
      <w:r>
        <w:t>凝聚各类示范基地资源，促进创新创业、务实合作，构建创新要素聚合的生态格局，增强双创示范基地之间的有效对接，建立创新创业资源开放共享、创新项目联合发布、科技成果转化、创新成果展示、产学研和各类主体深度对接的常态化机制。进一步发挥双创示范基地的带动作用，聚焦产业技术创新，汇聚产业上下游企业联合开展技术攻关和创新，攻克一批制约产业高质量发展的关键技术，建立联合创新的常态化机制。到2025年，国家双创示范基地在长三角区域引领示范效应显著提升。</w:t>
      </w:r>
    </w:p>
    <w:p>
      <w:pPr>
        <w:pStyle w:val="40"/>
      </w:pPr>
      <w:bookmarkStart w:id="302" w:name="_Toc154688996"/>
      <w:bookmarkStart w:id="303" w:name="_Toc156576476"/>
      <w:r>
        <w:t>二、搭建开放融通创新载体</w:t>
      </w:r>
      <w:bookmarkEnd w:id="302"/>
      <w:bookmarkEnd w:id="303"/>
    </w:p>
    <w:p>
      <w:pPr>
        <w:pStyle w:val="38"/>
        <w:spacing w:line="560" w:lineRule="exact"/>
      </w:pPr>
      <w:r>
        <w:t>探索产业链、供应链、创新链的深度融合创新，促进大数据、人工智能、智能制造等新兴领域各类创新主体和长三角双创示范基地联盟等平台多领域交流与合作，孕育融通创新发展的强大潜能，为提升产业技术高级化和产业链现代化提供动力。依托中软国际解放号、华为云创新中心、华为人工智能创新中心等技术平台，打造“南京软件产业赋能云平台”。通过“智慧软件谷”建设，搭建双创服务线上平台、智慧园区信息平台、园区智能化平台，构建“5G企业联盟”“产业集群企业家联盟”。进一步发挥硅谷高创会、中欧创新中心、PNP软件谷国际创新加速器等平台作用，搭建协同创新、人文交流等综合服务平台，不断扩大海外“朋友圈”，加快编织全球创新资源网。</w:t>
      </w:r>
    </w:p>
    <w:p>
      <w:pPr>
        <w:pStyle w:val="40"/>
      </w:pPr>
      <w:bookmarkStart w:id="304" w:name="_Toc156576477"/>
      <w:bookmarkStart w:id="305" w:name="_Toc154688997"/>
      <w:r>
        <w:t>三、大力发展新型都市产业</w:t>
      </w:r>
      <w:bookmarkEnd w:id="304"/>
      <w:bookmarkEnd w:id="305"/>
    </w:p>
    <w:p>
      <w:pPr>
        <w:spacing w:line="560" w:lineRule="exact"/>
        <w:ind w:firstLineChars="200" w:firstLine="560"/>
      </w:pPr>
      <w:bookmarkStart w:id="306" w:name="_Hlk103758873"/>
      <w:r>
        <w:rPr>
          <w:bCs/>
        </w:rPr>
        <w:t>产城融合发展样板区。</w:t>
      </w:r>
      <w:r>
        <w:t>以产城融合、绿色智慧、TOD模式为策略导向，坚持高标准规划引领，坚持新建与改造相结合，加快与周边地区交通体系、城市功能的多层次融合。围绕“一核三心多组团”规划布局，紧紧抓住征地拆迁、基础配套、土地运作、产业导入等关键环节，激活将军山、牛首山、岱山、秦淮新河等生态资源禀赋，不断优化布局、整合资源、完善设施，重点培育绿色智慧产业、科技创新产业、城市活力商业、复合功能酒店、城市富氧宜居地产等产业，打造城市形态、建筑形态、产业形态“三位一体”的地区地标。</w:t>
      </w:r>
      <w:bookmarkEnd w:id="306"/>
    </w:p>
    <w:p>
      <w:pPr>
        <w:spacing w:line="560" w:lineRule="exact"/>
        <w:ind w:firstLineChars="200" w:firstLine="560"/>
      </w:pPr>
      <w:r>
        <w:rPr>
          <w:bCs/>
        </w:rPr>
        <w:t>打造数字驱动产业体系。</w:t>
      </w:r>
      <w:r>
        <w:t>加快发展数字经济核心产业，发挥软件谷作为国家数字服务出口基地的引领示范作用，以打造软件地标核心区为指引，构筑产业生态为方向，做大做强通信软件、云计算大数据、网络安全、互联网、人工智能等优势产业，大力发展信创、芯片设计等新兴产业，布局培育区块链、量子科技等前沿科技产业，分层次带动主导产业提档升级。积极争创中国软件名园，以龙头企业为牵引，以新基建为抓手，不断优化产业结构，开发新产品、培育新业态，推进软件园区特色化、专业化、品牌化、高端化发展，加快实现软件谷向数字谷转型升级。</w:t>
      </w:r>
    </w:p>
    <w:p>
      <w:pPr>
        <w:pStyle w:val="40"/>
      </w:pPr>
      <w:bookmarkStart w:id="307" w:name="_Toc156576478"/>
      <w:bookmarkStart w:id="308" w:name="_Toc154688998"/>
      <w:r>
        <w:t>四、培育商务商贸新业态新模式</w:t>
      </w:r>
      <w:bookmarkEnd w:id="307"/>
      <w:bookmarkEnd w:id="308"/>
    </w:p>
    <w:p>
      <w:pPr>
        <w:spacing w:line="560" w:lineRule="exact"/>
        <w:ind w:firstLineChars="200" w:firstLine="560"/>
        <w:rPr>
          <w:bCs/>
          <w:szCs w:val="28"/>
        </w:rPr>
      </w:pPr>
      <w:r>
        <w:t>创新发展高端商务商贸业，加快数字技术与服务业融合发展，建立健全“互联网+服务”、电子商务公共服务平台，积极培育新业态新模式。优化新型消费网络节点布局，探索发展智慧超市、智慧商店、智慧餐厅等新零售业态。加快发展夜间经济，重点打造“中心荟”商圈、莲花湖公园2个夜间经济集聚区。推动线上线下融合消费双向提速，支持互联网平台企业向线下延伸拓展，加快传统线下业态数字化改造和转型升级，发展个性化定制、柔性化生产，推动线上线下消费高效融合、大中小企业协同联动、上下游全链条一体发展。引导实体企业更多开发数字化产品和服务，鼓励实体商业通过直播电子商务、社交营销开启“云逛街”等新模式。到2025年，培育形成一批新型消费示范企业，社会消费品零售总额达到750亿元，实物商品网上零售额占社会消费品零售总额比重显著提高，“互联网+服务”等新业态新模式得到普及并趋于成熟。</w:t>
      </w:r>
    </w:p>
    <w:p>
      <w:pPr>
        <w:pStyle w:val="15"/>
        <w:numPr>
          <w:ilvl w:val="0"/>
          <w:numId w:val="6"/>
        </w:numPr>
        <w:spacing w:line="560" w:lineRule="exact"/>
        <w:jc w:val="center"/>
      </w:pPr>
      <w:bookmarkStart w:id="309" w:name="_Toc156576479"/>
      <w:r>
        <w:t>推行现代农业绿色生产</w:t>
      </w:r>
      <w:bookmarkEnd w:id="309"/>
    </w:p>
    <w:p>
      <w:pPr>
        <w:pStyle w:val="40"/>
      </w:pPr>
      <w:bookmarkStart w:id="310" w:name="_Toc154689000"/>
      <w:bookmarkStart w:id="311" w:name="_Toc156576480"/>
      <w:r>
        <w:t>一、高</w:t>
      </w:r>
      <w:r>
        <w:rPr>
          <w:rFonts w:hint="eastAsia"/>
        </w:rPr>
        <w:t>质量</w:t>
      </w:r>
      <w:r>
        <w:t>推进农业产业发展</w:t>
      </w:r>
      <w:bookmarkEnd w:id="310"/>
      <w:bookmarkEnd w:id="311"/>
    </w:p>
    <w:p>
      <w:pPr>
        <w:spacing w:line="560" w:lineRule="exact"/>
        <w:ind w:firstLine="482"/>
      </w:pPr>
      <w:r>
        <w:t>高标准编制《板桥都市现代农园项目规划》，加快推进基础设施和国际标准垂钓区等功能区建设，将板桥生态园打造成产业发展与乡风民宿、美丽家园融合的都市现代休闲农园。</w:t>
      </w:r>
    </w:p>
    <w:p>
      <w:pPr>
        <w:spacing w:line="560" w:lineRule="exact"/>
        <w:ind w:firstLine="482"/>
        <w:rPr>
          <w:b/>
          <w:bCs/>
        </w:rPr>
      </w:pPr>
      <w:r>
        <w:t>发挥软件谷产业优势，建立涉农高新科技企业产业联盟，主动对接服务新立讯、数溪等一批涉农高科技企业，吸引涉农高科技企业集聚落户，积极对接市场，打造应用场景，助力农业企业优质发展。</w:t>
      </w:r>
    </w:p>
    <w:p>
      <w:pPr>
        <w:pStyle w:val="40"/>
      </w:pPr>
      <w:bookmarkStart w:id="312" w:name="_Toc156576481"/>
      <w:bookmarkStart w:id="313" w:name="_Toc154689001"/>
      <w:r>
        <w:t>二、加强农产品质量安全监管</w:t>
      </w:r>
      <w:bookmarkEnd w:id="312"/>
      <w:bookmarkEnd w:id="313"/>
    </w:p>
    <w:p>
      <w:pPr>
        <w:spacing w:line="560" w:lineRule="exact"/>
        <w:ind w:firstLineChars="200" w:firstLine="560"/>
      </w:pPr>
      <w:r>
        <w:t>不断健全监管网络，落实责任主体，切实加强产前、产中、产后全程检查监管力度，重点做好农产品抽检和农药、种子、肥料、兽药、饲料及饲料添加剂等农业投入品市场准入管理，努力建立覆盖全过程的农产品质量安全监管制度。积极推进沿江5公里化肥和化学农药“两减”工作，通过缩减种植面积、生物有机肥替代化肥、农业产业结构调整等方式为进一步推进农产品质量安全工作和创建国家食品安全示范城市提供有力保障。</w:t>
      </w:r>
    </w:p>
    <w:p>
      <w:pPr>
        <w:pStyle w:val="40"/>
      </w:pPr>
      <w:bookmarkStart w:id="314" w:name="_Toc154689002"/>
      <w:bookmarkStart w:id="315" w:name="_Toc156576482"/>
      <w:r>
        <w:t>三、完善农业生产保障体系建设</w:t>
      </w:r>
      <w:bookmarkEnd w:id="314"/>
      <w:bookmarkEnd w:id="315"/>
    </w:p>
    <w:p>
      <w:pPr>
        <w:spacing w:line="560" w:lineRule="exact"/>
        <w:ind w:firstLineChars="200" w:firstLine="560"/>
      </w:pPr>
      <w:r>
        <w:t>积极开展农机安全监管、检查，落实农机安全生产责任制，建立健全农机安全生产管理网络。深入开展农机安全生产宣传，强化农机安全源头管理，加强横向协作，每年开展执法检查工作，齐抓共管，彻底消除农机事故隐患，遏制重特大事故的发生。</w:t>
      </w:r>
    </w:p>
    <w:p>
      <w:pPr>
        <w:spacing w:line="560" w:lineRule="exact"/>
        <w:ind w:firstLineChars="200" w:firstLine="560"/>
      </w:pPr>
      <w:r>
        <w:t>加强公共水域渔政执法，重点抓好长江10年全面禁渔工作，积极稳妥推进江豚省级自然保护区（南京雨花段）沿岸项目整治和渔业资源增殖放流等相关工作，配合有关部门建设江豚观测点，全面抓好长江（南京雨花段）长吻鮰铜鱼国家级种质资源保护区工作。</w:t>
      </w:r>
    </w:p>
    <w:p>
      <w:pPr>
        <w:spacing w:line="560" w:lineRule="exact"/>
        <w:ind w:firstLineChars="200" w:firstLine="560"/>
      </w:pPr>
      <w:r>
        <w:t>开展农产品质量安全诚信体系建设，利用电视台、网站、横幅等宣传农产品质量安全，积极开展农产品质量安全宣传月、送苗下乡、农资打假等各类宣传活动。同时依法开展执法巡查工作，努力提高案件及时办结率；做好全区动物检疫工作，努力确保全区重大动物疫病应免疫率达到100%，标识佩戴率达到100%，完成每年上级下发的抗体监测、动物血防工作。建立“政府主导、属地责任，部门协同、联防联控”的工作机制，围绕加拿大一枝黄花出苗期、生长期、花期三个关键时期，采用专项整治行动和常态长效防除相结合方式进行治理，形成“统筹协调、科学防除、标本兼治、长效管控”的工作局面，切实做好加拿大一枝黄花防除工作，进一步落实加拿大一枝黄花防除职责，建立健全常态长效防除机制，提升防除实效。</w:t>
      </w:r>
    </w:p>
    <w:p>
      <w:pPr>
        <w:pStyle w:val="15"/>
        <w:numPr>
          <w:ilvl w:val="0"/>
          <w:numId w:val="6"/>
        </w:numPr>
        <w:spacing w:line="560" w:lineRule="exact"/>
        <w:jc w:val="center"/>
      </w:pPr>
      <w:bookmarkStart w:id="316" w:name="_Toc156576483"/>
      <w:r>
        <w:t>构建立体化综合交通体系</w:t>
      </w:r>
      <w:bookmarkEnd w:id="316"/>
    </w:p>
    <w:p>
      <w:pPr>
        <w:pStyle w:val="40"/>
        <w:rPr>
          <w:rFonts w:eastAsia="方正楷体_GBK"/>
        </w:rPr>
      </w:pPr>
      <w:bookmarkStart w:id="317" w:name="_Toc156576484"/>
      <w:bookmarkStart w:id="318" w:name="_Toc154689004"/>
      <w:r>
        <w:rPr>
          <w:rFonts w:eastAsia="方正楷体_GBK"/>
        </w:rPr>
        <w:t>一、</w:t>
      </w:r>
      <w:r>
        <w:t>强化交通枢纽门户功能</w:t>
      </w:r>
      <w:bookmarkEnd w:id="317"/>
      <w:bookmarkEnd w:id="318"/>
    </w:p>
    <w:p>
      <w:pPr>
        <w:pStyle w:val="38"/>
        <w:spacing w:line="560" w:lineRule="exact"/>
      </w:pPr>
      <w:r>
        <w:t>依托南京南站综合交通枢纽，加强雨花台区与南京都市圈及全国重要城市的快速联系，提升区域交通可达性。依托宁马高速、S2宁马城际线、S338滨江大道等交通轴线，强化宁马、滨江的轴向交通联系，强化南京西南门户枢纽功能。依托骨干路网、轨道线网，积极融入市级交通网络。</w:t>
      </w:r>
    </w:p>
    <w:p>
      <w:pPr>
        <w:pStyle w:val="38"/>
        <w:spacing w:line="560" w:lineRule="exact"/>
      </w:pPr>
      <w:r>
        <w:t>聚焦国内外轨道交通产业创新高地，强化创新资源导入，重点实施产业链招商，弥补产业发展短板，培育一批技术水平高，专业能力强、具有影响力的轨道交通设备产业集群。支持泰通科技、华士电子等高科技企业开展基于物联网技术的高铁自然灾害预警系统、铁路下一代5G-R超宽带无线通信系统研发及产业化等新型基础设施项目建设。</w:t>
      </w:r>
    </w:p>
    <w:p>
      <w:pPr>
        <w:pStyle w:val="38"/>
        <w:spacing w:line="560" w:lineRule="exact"/>
      </w:pPr>
      <w:r>
        <w:rPr>
          <w:bCs/>
        </w:rPr>
        <w:t>统筹规划雨花台区高速铁路、城际铁路、普通干线铁路以及城市轨道交通，促进高快速铁路与城市轨道交通有机衔接和融合发展，实现内外互联互通、区际全面覆盖，提升雨花台区的辐射带动能力。规划“一横一纵”的高速公路网和“三横两纵”的普通国省干线公路网络。进一步完善与周边区域的干线公路网络衔接，提升对区内产业发展的支撑作用。加强不同等级公路之间、公路与城市快速路之间的有效衔接，提升区内综合交通网络整体效率。力争将南京南站建设成国际（国家）级客运枢纽，扩展雨花台区乃至南京市的客运服务对外辐射，支撑南京市各大战略的开展实施。稳步推进花神庙、安德门、西善桥、板桥四处区级换乘枢纽建设，实现雨花台区与周边秦淮、建邺等区域之间的便捷换乘。</w:t>
      </w:r>
    </w:p>
    <w:p>
      <w:pPr>
        <w:pStyle w:val="40"/>
      </w:pPr>
      <w:bookmarkStart w:id="319" w:name="_Toc156576485"/>
      <w:bookmarkStart w:id="320" w:name="_Toc154689005"/>
      <w:r>
        <w:t>二、加快交通路网体系建设</w:t>
      </w:r>
      <w:bookmarkEnd w:id="319"/>
      <w:bookmarkEnd w:id="320"/>
    </w:p>
    <w:p>
      <w:pPr>
        <w:spacing w:line="560" w:lineRule="exact"/>
        <w:ind w:firstLineChars="200" w:firstLine="560"/>
        <w:sectPr>
          <w:pgSz w:w="11906" w:h="16838"/>
          <w:pgMar w:top="1440" w:right="1474" w:bottom="1985" w:left="1588" w:header="851" w:footer="992" w:gutter="0"/>
          <w:docGrid w:type="linesAndChars" w:linePitch="312" w:charSpace="0"/>
        </w:sectPr>
      </w:pPr>
      <w:r>
        <w:t>强化与南京中心城区、河西核心区、南部新城、机场的快速联系，重点完善板桥街道、古雄街道和开发区的跨区道路联系，打通对外交通战略通道；推动雨花南北道路衔接，突破一批重要节点道路与交通瓶颈路段，打通机场二通道北段（小行高架-绕城公路）、滨江大道S338（</w:t>
      </w:r>
      <w:r>
        <w:rPr>
          <w:rFonts w:hint="eastAsia"/>
        </w:rPr>
        <w:t>南江路-江宁河</w:t>
      </w:r>
      <w:r>
        <w:t>）等，构建便捷、通畅、高效、安全的立体化交通网络；优先完善创新功能片区支路网建设，持续开展道路环境综合整治工程，满足企业科技研发和生产对交通设施的需求，为高技术人才的生活休闲提供快速、现代的、服务型的交通需求。</w:t>
      </w:r>
    </w:p>
    <w:p>
      <w:pPr>
        <w:pStyle w:val="39"/>
        <w:spacing w:line="560" w:lineRule="exact"/>
      </w:pPr>
      <w:bookmarkStart w:id="321" w:name="_Toc156576486"/>
      <w:bookmarkStart w:id="322" w:name="_Hlk107389507"/>
      <w:bookmarkEnd w:id="165"/>
      <w:r>
        <w:t>强化城乡建设，践行生态生活</w:t>
      </w:r>
      <w:bookmarkEnd w:id="321"/>
    </w:p>
    <w:p>
      <w:pPr>
        <w:pStyle w:val="15"/>
        <w:numPr>
          <w:ilvl w:val="0"/>
          <w:numId w:val="7"/>
        </w:numPr>
        <w:spacing w:line="560" w:lineRule="exact"/>
        <w:jc w:val="center"/>
      </w:pPr>
      <w:bookmarkStart w:id="323" w:name="_Hlk107389619"/>
      <w:bookmarkStart w:id="324" w:name="_Hlk107406427"/>
      <w:bookmarkStart w:id="325" w:name="_Toc156576487"/>
      <w:bookmarkEnd w:id="322"/>
      <w:r>
        <w:t>完善城乡环境基础设施建设</w:t>
      </w:r>
      <w:bookmarkEnd w:id="323"/>
      <w:bookmarkEnd w:id="324"/>
      <w:bookmarkEnd w:id="325"/>
    </w:p>
    <w:p>
      <w:pPr>
        <w:pStyle w:val="40"/>
      </w:pPr>
      <w:bookmarkStart w:id="326" w:name="_Hlk107390374"/>
      <w:bookmarkStart w:id="327" w:name="_Hlk107406450"/>
      <w:bookmarkStart w:id="328" w:name="_Toc154689008"/>
      <w:bookmarkStart w:id="329" w:name="_Toc156576488"/>
      <w:r>
        <w:t>一、深化城区环境一体化建设</w:t>
      </w:r>
      <w:bookmarkEnd w:id="326"/>
      <w:bookmarkEnd w:id="327"/>
      <w:bookmarkEnd w:id="328"/>
      <w:bookmarkEnd w:id="329"/>
    </w:p>
    <w:p>
      <w:pPr>
        <w:pStyle w:val="38"/>
        <w:spacing w:line="560" w:lineRule="exact"/>
      </w:pPr>
      <w:bookmarkStart w:id="330" w:name="_Hlk107406470"/>
      <w:r>
        <w:rPr>
          <w:b/>
          <w:bCs/>
        </w:rPr>
        <w:t>强化城区污水收集处理与改造。</w:t>
      </w:r>
      <w:r>
        <w:t>推进污水收集管网排查改造与新建，完成全部建成区污水管网排查和检测任务，建成“</w:t>
      </w:r>
      <w:r>
        <w:rPr>
          <w:bCs/>
        </w:rPr>
        <w:t>一库，一图，一平台</w:t>
      </w:r>
      <w:r>
        <w:t>”信息化系统。加快推进老旧城区、城乡</w:t>
      </w:r>
      <w:r>
        <w:rPr>
          <w:rFonts w:hint="eastAsia"/>
          <w:lang w:val="en-US" w:eastAsia="zh-CN"/>
        </w:rPr>
        <w:t>接</w:t>
      </w:r>
      <w:r>
        <w:t>合部污水管道整体改造以及城市新开发区域污水管道新建工程，完成城南污水系统主通道建设，消除管网空白区。推进现有污水处理设施提标改造，配合省市完成城南污水处理厂扩建等任务，新建雨花台区宏运大道、南站北部泵站分散式净水站，提升城市污水处理能力，对进水浓度低于目标值的，制定“一厂一策”整治方案并有序推进。加强污水处理运营管理，提高污水处理运行效率。到2025年，建成区80%以上面积建成“污水处理提质增效达标区”，基本实现污水管网全覆盖，污水全收集、全处理。</w:t>
      </w:r>
    </w:p>
    <w:p>
      <w:pPr>
        <w:spacing w:line="560" w:lineRule="exact"/>
        <w:ind w:firstLineChars="200" w:firstLine="560"/>
        <w:rPr>
          <w:szCs w:val="32"/>
        </w:rPr>
      </w:pPr>
      <w:r>
        <w:rPr>
          <w:b/>
          <w:bCs/>
        </w:rPr>
        <w:t>完善城区生活垃圾收运体系。</w:t>
      </w:r>
      <w:r>
        <w:t>完善一体化生活垃圾收运处置体系，提高生活垃圾减量化、资源化、无害化处理水平。全面升级改造生活垃圾压缩站和收集运输设备，实现生活垃圾中转站全覆盖。</w:t>
      </w:r>
      <w:r>
        <w:rPr>
          <w:szCs w:val="32"/>
        </w:rPr>
        <w:t>进一步完善垃圾分类投放、收集、运输和处理体系，积极推进生活垃圾减量化、资源化利用。开展非正规垃圾堆放点整治，完成居民区垃圾分类集中投放设施、雨花台区垃圾分类贮存分拣中心工程建设。</w:t>
      </w:r>
      <w:r>
        <w:rPr>
          <w:bCs/>
        </w:rPr>
        <w:t>加强餐厨废弃物管理，推进餐厨废弃物资源化利用和无害化处理；大件垃圾采用定时定员收集方式，由专业物资回收人员定点收集；推动建筑垃圾源头减量和分类利用。</w:t>
      </w:r>
      <w:r>
        <w:rPr>
          <w:szCs w:val="32"/>
        </w:rPr>
        <w:t>到2025年，生活垃圾分类集中处理率达100%。</w:t>
      </w:r>
    </w:p>
    <w:p>
      <w:pPr>
        <w:spacing w:line="560" w:lineRule="exact"/>
        <w:ind w:firstLineChars="200" w:firstLine="560"/>
        <w:rPr>
          <w:szCs w:val="32"/>
        </w:rPr>
      </w:pPr>
      <w:r>
        <w:rPr>
          <w:b/>
          <w:szCs w:val="32"/>
        </w:rPr>
        <w:t>健全医疗废物收运体系。</w:t>
      </w:r>
      <w:r>
        <w:t>建立健医疗废物收集转运体系，推进各医疗机构系统建立分类投放、收集、贮存、交接和转运的医疗机构废弃物管理系统。</w:t>
      </w:r>
      <w:r>
        <w:rPr>
          <w:szCs w:val="32"/>
        </w:rPr>
        <w:t>完善小型医疗机构医疗废物收集体系，设置医疗废物集中收集点，提升区域医疗废物收集服务能力。依托南京汇和环境工程技术有限公司和应急收集转运单位，建立医疗废物“平战结合”的收运体系。2025年底前力争建成覆盖全区的医疗废物收集转运体系，进一步提升收运效率，降低收运成本。</w:t>
      </w:r>
    </w:p>
    <w:p>
      <w:pPr>
        <w:pStyle w:val="40"/>
      </w:pPr>
      <w:bookmarkStart w:id="331" w:name="_Toc117683754"/>
      <w:bookmarkStart w:id="332" w:name="_Toc154689009"/>
      <w:bookmarkStart w:id="333" w:name="_Toc156576489"/>
      <w:r>
        <w:t>二、提升城市公共</w:t>
      </w:r>
      <w:bookmarkEnd w:id="331"/>
      <w:r>
        <w:t>服务水平</w:t>
      </w:r>
      <w:bookmarkEnd w:id="332"/>
      <w:bookmarkEnd w:id="333"/>
    </w:p>
    <w:p>
      <w:pPr>
        <w:pStyle w:val="45"/>
        <w:spacing w:line="560" w:lineRule="exact"/>
        <w:rPr>
          <w:rFonts w:eastAsia="方正仿宋_GBK"/>
          <w:bCs/>
          <w:szCs w:val="21"/>
        </w:rPr>
      </w:pPr>
      <w:r>
        <w:rPr>
          <w:rFonts w:eastAsia="方正仿宋_GBK"/>
          <w:b/>
          <w:szCs w:val="21"/>
        </w:rPr>
        <w:t>加强交通配套设施建设。</w:t>
      </w:r>
      <w:r>
        <w:rPr>
          <w:rFonts w:eastAsia="方正仿宋_GBK"/>
          <w:bCs/>
          <w:szCs w:val="21"/>
        </w:rPr>
        <w:t>加快智能化停车设施建设，推进共青团路中学地下停车场、安德门人防工程等项目建设。规范城区静态交通秩序，重点整治非禁停道路违法停车、乱停乱放，规范重点路段、节点的非机动车停车管理，多管齐下缓解道路拥堵问题，最大程度方便市民出行，提高通行效率。加强交通微循环管理，推动交通数字化管控。提升建设项目停车位配备标准，充分挖掘老旧小区停车资源，引导错时停车、资源共享；结合轨道交通站点设施，探索大板桥区域“P+R”停车场建设；加强新能源汽车充电桩布局建设。贯彻公交优先发展战略，积极推动轨道交通建设；重视慢行品质，推进以人为本的道路慢行空间打造和绿道绿地等休闲交通设施建设。</w:t>
      </w:r>
    </w:p>
    <w:p>
      <w:pPr>
        <w:spacing w:line="560" w:lineRule="exact"/>
        <w:ind w:firstLineChars="200" w:firstLine="560"/>
      </w:pPr>
      <w:r>
        <w:rPr>
          <w:b/>
          <w:bCs/>
        </w:rPr>
        <w:t>提升城镇数字化基础水平。</w:t>
      </w:r>
      <w:r>
        <w:t>积极布局新基建，推进南京南站地区智能综合管理平台建设，推动5G基站、轨道交通、电动汽车充电桩等新型基础设施建设。加快利用5G等新一代信息技术，推进市政公用设施、环卫设施、地下管网等基础设施数字化改造，提升水、电、气、热等管网，以及道路、桥梁、车站等设施的感知化、智能化、网络化水平，增强传统基础设施创新发展动能，服务全区经济转型升级。统筹推进智慧雨花建设，以“雨花智脑”建设为抓手，全面赋能产业服务、政务服务、城市治理、社会民生等各领域智慧化融合应用。布局大数据中心、物联网、政务云等新型基础设施，建设大数据平台、人工智能平台、区块链平台等能力平台。开发“数字雨花”城市管理系统，推动政务服务、交通管理等实现线上运行。支持依托互联网的外卖配送、网约车、即时递送、住宿共享等新业态发展。推动开发数字物流、数字医疗、数字环保等应用系统，实现新技术赋能新服务，打造新时期数字城市新标杆。</w:t>
      </w:r>
    </w:p>
    <w:p>
      <w:pPr>
        <w:spacing w:line="560" w:lineRule="exact"/>
        <w:ind w:firstLineChars="200" w:firstLine="560"/>
        <w:rPr>
          <w:b/>
          <w:bCs/>
        </w:rPr>
      </w:pPr>
      <w:r>
        <w:rPr>
          <w:b/>
          <w:bCs/>
        </w:rPr>
        <w:t>推进教育和医疗卫生公共设施建设。</w:t>
      </w:r>
      <w:r>
        <w:rPr>
          <w:bCs/>
        </w:rPr>
        <w:t>雨花台区以“三名工程”为指引，以“三航工程”为依托，创建省、市优质园4所，创建1所“推进素质教育示范初中”，持续开展名师培育工程，完善后备教师人才储备库。有序推进“公参民”学校治理，确保民办教育规范、有序、优质发展。推进医疗“名院名医名科室”工程，加快江苏省妇幼保健院总部、区公共卫生服务中心等项目建设，建成岱山社区卫生服务中心嘉业分中心，推进新冠分级分类诊疗体系建设，提升老年人新冠疫苗接种率，提高“15分钟健康服务圈”服务能力。</w:t>
      </w:r>
    </w:p>
    <w:p>
      <w:pPr>
        <w:pStyle w:val="15"/>
        <w:numPr>
          <w:ilvl w:val="0"/>
          <w:numId w:val="7"/>
        </w:numPr>
        <w:spacing w:line="560" w:lineRule="exact"/>
        <w:jc w:val="center"/>
      </w:pPr>
      <w:bookmarkStart w:id="334" w:name="_Hlk107407561"/>
      <w:bookmarkStart w:id="335" w:name="_Toc156576490"/>
      <w:bookmarkStart w:id="336" w:name="_Hlk107390404"/>
      <w:bookmarkEnd w:id="330"/>
      <w:r>
        <w:t>稳步推进生态宜居城市建设</w:t>
      </w:r>
      <w:bookmarkEnd w:id="334"/>
      <w:bookmarkEnd w:id="335"/>
    </w:p>
    <w:p>
      <w:pPr>
        <w:pStyle w:val="40"/>
      </w:pPr>
      <w:bookmarkStart w:id="337" w:name="_Toc156576491"/>
      <w:bookmarkStart w:id="338" w:name="_Hlk107407569"/>
      <w:bookmarkStart w:id="339" w:name="_Toc154689011"/>
      <w:bookmarkEnd w:id="336"/>
      <w:r>
        <w:t>一、加强城镇人居环境整治</w:t>
      </w:r>
      <w:bookmarkEnd w:id="337"/>
      <w:bookmarkEnd w:id="338"/>
      <w:bookmarkEnd w:id="339"/>
    </w:p>
    <w:p>
      <w:pPr>
        <w:spacing w:line="560" w:lineRule="exact"/>
        <w:ind w:firstLineChars="200" w:firstLine="560"/>
      </w:pPr>
      <w:bookmarkStart w:id="340" w:name="_Hlk107407669"/>
      <w:r>
        <w:rPr>
          <w:b/>
          <w:bCs/>
        </w:rPr>
        <w:t>稳步推进老旧小区改造。</w:t>
      </w:r>
      <w:r>
        <w:t>全面开展调查摸底，建立包含老旧小区地理位置、房屋、人口、配套等现状要素的基础数据库和项目库。坚持“内外兼修”，建筑物本体修缮、完善公建配套和基础服务设施等相结合，重点解决违搭乱建、雨污分流、道路、绿化、停车位等问题，加快推进有条件的小区加装电梯、电动车充电桩等便民设施，不断健全物业管理、公共服务、居家养老、社会治安等生活服务配套，推动建设安全健康、设施完善、管理有序的完整居住社区。</w:t>
      </w:r>
    </w:p>
    <w:p>
      <w:pPr>
        <w:spacing w:line="560" w:lineRule="exact"/>
        <w:ind w:firstLineChars="200" w:firstLine="560"/>
      </w:pPr>
      <w:r>
        <w:rPr>
          <w:b/>
        </w:rPr>
        <w:t>推进街区街巷整治提升。</w:t>
      </w:r>
      <w:r>
        <w:t>高标准打造干净整洁的城区环境，优化创新作业模式，主干道机扫率达到100%，道路整洁优良率90%以上，核心片区慢车道、人行道、背街小巷水扫率80%以上，强化道路扬尘治理，助力大气污染防治。按照“一街一景观、一街一特色”标准高质量推进重点背街小巷精细化整治，放大精品街巷的规模效应和带动效应，由点及面、连线成片，在南京南站片区创建美丽街区。开展背街小巷精细化整治回头看，落实长效管理。</w:t>
      </w:r>
    </w:p>
    <w:p>
      <w:pPr>
        <w:spacing w:line="560" w:lineRule="exact"/>
        <w:ind w:firstLineChars="200" w:firstLine="560"/>
      </w:pPr>
      <w:r>
        <w:rPr>
          <w:b/>
          <w:bCs/>
        </w:rPr>
        <w:t>完善生态绿地景观建设。</w:t>
      </w:r>
      <w:r>
        <w:rPr>
          <w:bCs/>
        </w:rPr>
        <w:t>提升绿化水平，优化城市公园、街头景观绿地、单位庭院绿地，实施城市道路绿化提升项目，积极探索立体绿化，构建城区绿地开放系统，打造绿色城区。</w:t>
      </w:r>
      <w:r>
        <w:t>以南京城市脉络——长江、秦淮新河以及牛首山、将军山脉为基础，利用防护绿地、滨河风光及主要城市道路构建一带、一楔、一环、四廊、六脉的雨花绿廊系统，串联城市公园及风景区，形成开放空间系统。依托雨花台、菊花台、雨花城市公园等大型公共绿地，建设一批城市综合公园和专类公园；依托长江、秦淮新河沿河滨水地区以及宁芜公路、绕城公路等主要道路建设带型公园绿地；推进魅力开放滨江文旅的建设，打造2座滨江文化公园——大胜关公园、三山矶生态公园；建设雨花新滨江建设慢行步道，营造友好的步行骑行环境，实现滨江公共活动路径的贯通，重塑岸线绿脉。充分利用资源条件，结合人口分布，强化社区公园、口袋公园及“网红”绿道建设。打造全区无边界无盲区全覆盖的绿化养护，着力提升绿化养护水平。建立“绿地一张图”系统，增强绿化养护的计划性针对性。</w:t>
      </w:r>
    </w:p>
    <w:p>
      <w:pPr>
        <w:pStyle w:val="40"/>
      </w:pPr>
      <w:bookmarkStart w:id="341" w:name="_Toc154689012"/>
      <w:bookmarkStart w:id="342" w:name="_Toc156576492"/>
      <w:bookmarkStart w:id="343" w:name="_Hlk107407940"/>
      <w:bookmarkEnd w:id="340"/>
      <w:r>
        <w:t>二、努力推进“无废城市”建设</w:t>
      </w:r>
      <w:bookmarkEnd w:id="341"/>
      <w:bookmarkEnd w:id="342"/>
    </w:p>
    <w:p>
      <w:pPr>
        <w:spacing w:line="560" w:lineRule="exact"/>
        <w:ind w:firstLineChars="200" w:firstLine="560"/>
      </w:pPr>
      <w:r>
        <w:rPr>
          <w:b/>
        </w:rPr>
        <w:t>大力推进生活垃圾分类。</w:t>
      </w:r>
      <w:r>
        <w:t>推动党政机关、医院、学校等公共机构率先实施生活垃圾强制分类，推动生产和生活方式绿色转型，将生活垃圾管理工作逐步延伸至生产、流通、消费环节，逐步推进生活垃圾源头减量有实质进展。强化线上线下生活垃圾分类宣传引导，持续加大对有害垃圾的分类认识，印发《有害垃圾分类工作指导手册》，引导居民自觉开展生活垃圾分类。深入开展生活垃圾分类争优除差行动，逐步破解厨余垃圾分类难题，引导群众普遍参与，推动习惯养成。加强对净菜生产、流通等环节的宣传培训和督促引导工作，把好重点生产企业、批发市场关口。</w:t>
      </w:r>
    </w:p>
    <w:p>
      <w:pPr>
        <w:spacing w:line="560" w:lineRule="exact"/>
        <w:ind w:firstLineChars="200" w:firstLine="560"/>
      </w:pPr>
      <w:r>
        <w:rPr>
          <w:b/>
        </w:rPr>
        <w:t>加强垃圾转运保障。</w:t>
      </w:r>
      <w:r>
        <w:t>推进生活垃圾分类网点与再生资源回收网络“两网融合”，构建“点、站、中心”三级回收网络，大力提升低价值可回收物的回收利用率。根据需求建设大中型生活垃圾转运设施，推进雨花台区垃圾分类贮存分拣中心的建设，建设集生活垃圾分拣、餐厨垃圾转运于一体的综合性环卫设施，实现厨余垃圾、其他垃圾分类转运。推进区域内原有转运站功能转型升级，对现有板桥星旺、拖板桥等垃圾中转站进行升级改造，结合垃圾分类需求逐步改造为具有可回收物分拣、有害垃圾暂存等功能的分类设施。</w:t>
      </w:r>
    </w:p>
    <w:p>
      <w:pPr>
        <w:spacing w:line="560" w:lineRule="exact"/>
        <w:ind w:firstLineChars="200" w:firstLine="560"/>
      </w:pPr>
      <w:r>
        <w:rPr>
          <w:b/>
        </w:rPr>
        <w:t>推动餐厨和建筑垃圾资源化利用。</w:t>
      </w:r>
      <w:r>
        <w:t>全区餐厨垃圾统一转运至市属末端设施进行处置，有效提升餐厨垃圾处理和资源化利用水平。持续开展既有拆建垃圾利用设施的检查和达标升级工作，提升拆建垃圾和装修垃圾资源化利用水平。推进雨花台区级建筑、装修垃圾资源化利用设施建设，补足区域建筑垃圾资源化利用能力，到2025年全区装修垃圾综合利用率达到70%。加强建筑垃圾协同利用，引导再生资源利用企业利用泥浆干化土、工程渣土等建筑垃圾生产新型绿色建材。</w:t>
      </w:r>
    </w:p>
    <w:p>
      <w:pPr>
        <w:pStyle w:val="40"/>
      </w:pPr>
      <w:bookmarkStart w:id="344" w:name="_Toc154689013"/>
      <w:bookmarkStart w:id="345" w:name="_Toc156576493"/>
      <w:bookmarkStart w:id="346" w:name="_Hlk107390024"/>
      <w:bookmarkEnd w:id="343"/>
      <w:r>
        <w:t>三、持续推进海绵城市建设</w:t>
      </w:r>
      <w:bookmarkEnd w:id="344"/>
      <w:bookmarkEnd w:id="345"/>
    </w:p>
    <w:p>
      <w:pPr>
        <w:spacing w:line="560" w:lineRule="exact"/>
        <w:ind w:firstLineChars="200" w:firstLine="560"/>
      </w:pPr>
      <w:bookmarkEnd w:id="346"/>
      <w:r>
        <w:t>推进海绵城市建设，充分将海绵城市理念与城市开发建设有机融合，探索改善水环境、保护水生态、强化水安全、弘扬水文化的协同模式，在满足各类用地主导功能的基础上合理布局海绵设施，分类推进海绵型建筑居住区、海绵型道路、海绵型公园绿地和广场、海绵型地下管廊、海绵型水体等建设。新建区域全部按照海绵城市要求建设，现状建成区结合城市更新改造，通过海绵措施恢复地区自然生态基底，逐步实施海绵城市建设，综合采取“渗、滞、蓄、净、用、排”等措施，最大限度地减少城市开发建设对生态环境的影响。加强与基本农田、城市建设用地和周边城市生态绿地相协调，保护公共海绵空间大格局。加强具有行洪、排涝、调蓄功能的水体保护，保护秦淮新河、南河等36条主要河道；莲花湖和花神湖等6座湖泊和重点塘坝。加强公共海绵设施建设，包括雨水花园、集中式下凹绿地、滨河湿地、滨河缓冲带、行泄通道等。到2025年，城市建成区50%以上的面积达到海绵城市建设目标要求；到2030年末，城市建成区80%以上的面积达到海绵城市建设目标要求。</w:t>
      </w:r>
    </w:p>
    <w:p>
      <w:pPr>
        <w:pStyle w:val="40"/>
      </w:pPr>
      <w:bookmarkStart w:id="347" w:name="_Toc154689014"/>
      <w:bookmarkStart w:id="348" w:name="_Toc156576494"/>
      <w:r>
        <w:t>四、全面推进绿色建筑发展</w:t>
      </w:r>
      <w:bookmarkEnd w:id="347"/>
      <w:bookmarkEnd w:id="348"/>
    </w:p>
    <w:p>
      <w:pPr>
        <w:spacing w:line="560" w:lineRule="exact"/>
        <w:ind w:firstLineChars="200" w:firstLine="560"/>
      </w:pPr>
      <w:r>
        <w:t>积极推进建筑节能和绿色建筑发展。推动实施“绿屋顶”计划，贯彻落实《江苏省绿色建筑发展条例》，公共机构率先执行绿色建筑标准，城镇新建民用建筑100%执行绿色建筑标准。积极推进既有居住建筑和公共建筑节能改造，对全区既有居住建筑和公共建筑进行全面分类、摸排，利用老旧小区出新、老旧街区改造、物业整治提升和抗震加固等契机，同步进行建筑节能改造。全面推动装配式建筑发展，积极推进新挂牌项目按照高星级绿色建筑和装配式建筑建设，推动高星级绿色建筑规模化发展。推进绿色建材产品认证和采信应用，推广节能绿色建材、装配化装修，加快绿色施工技术全面应用，加强新建建筑生命周期全过程管理。</w:t>
      </w:r>
    </w:p>
    <w:p>
      <w:pPr>
        <w:pStyle w:val="15"/>
        <w:numPr>
          <w:ilvl w:val="0"/>
          <w:numId w:val="7"/>
        </w:numPr>
        <w:spacing w:line="560" w:lineRule="exact"/>
        <w:jc w:val="center"/>
      </w:pPr>
      <w:bookmarkStart w:id="349" w:name="_Toc156576495"/>
      <w:bookmarkStart w:id="350" w:name="_Hlk107390387"/>
      <w:r>
        <w:t>深化农村人居环境整治</w:t>
      </w:r>
      <w:bookmarkEnd w:id="349"/>
    </w:p>
    <w:p>
      <w:pPr>
        <w:pStyle w:val="40"/>
      </w:pPr>
      <w:bookmarkStart w:id="351" w:name="_Toc154689016"/>
      <w:bookmarkStart w:id="352" w:name="_Toc156576496"/>
      <w:bookmarkStart w:id="353" w:name="_Hlk107408618"/>
      <w:bookmarkEnd w:id="350"/>
      <w:r>
        <w:t>一、深入开展农村人居环境整治行动</w:t>
      </w:r>
      <w:bookmarkEnd w:id="351"/>
      <w:bookmarkEnd w:id="352"/>
    </w:p>
    <w:p>
      <w:pPr>
        <w:spacing w:line="560" w:lineRule="exact"/>
        <w:ind w:firstLine="562"/>
        <w:rPr>
          <w:bCs/>
          <w:szCs w:val="32"/>
        </w:rPr>
      </w:pPr>
      <w:r>
        <w:rPr>
          <w:rFonts w:hint="eastAsia"/>
          <w:bCs/>
          <w:szCs w:val="32"/>
        </w:rPr>
        <w:t>把农村人居环境整治同城市人居环境治理摆在同等重要的位置，坚持通盘考虑、统筹推进、协同发展。瞄准整治重点。</w:t>
      </w:r>
      <w:r>
        <w:rPr>
          <w:bCs/>
          <w:szCs w:val="32"/>
        </w:rPr>
        <w:t>加大对农村基础设施的资金投入力度，安排专人负责维护和管理，保障各项设施能正常运转发挥效能。将环境卫生等纳入村规民约范畴，引导村民群众转变思想观念，形成村民自治管理模式。相关街道和社区结合实际创新管理办法，建立健全村庄长效管护机制。</w:t>
      </w:r>
    </w:p>
    <w:p>
      <w:pPr>
        <w:pStyle w:val="40"/>
        <w:rPr>
          <w:szCs w:val="32"/>
        </w:rPr>
      </w:pPr>
      <w:bookmarkStart w:id="354" w:name="_Toc154689017"/>
      <w:bookmarkStart w:id="355" w:name="_Toc156576497"/>
      <w:r>
        <w:t>二、坚持农业农村联动、生产生活生态融合</w:t>
      </w:r>
      <w:bookmarkEnd w:id="354"/>
      <w:bookmarkEnd w:id="355"/>
    </w:p>
    <w:p>
      <w:pPr>
        <w:spacing w:line="560" w:lineRule="exact"/>
        <w:ind w:firstLine="562"/>
        <w:rPr>
          <w:bCs/>
          <w:szCs w:val="32"/>
        </w:rPr>
      </w:pPr>
      <w:r>
        <w:rPr>
          <w:bCs/>
          <w:szCs w:val="32"/>
        </w:rPr>
        <w:t>引导有条件的村组将乡村基础设施与特色产业、休闲农业、乡村旅游有机结合，实现乡村产业融合发展与村居环境改善相互促进。</w:t>
      </w:r>
      <w:r>
        <w:rPr>
          <w:rFonts w:hint="eastAsia"/>
          <w:bCs/>
          <w:szCs w:val="32"/>
        </w:rPr>
        <w:t>定期开展志愿服务、美丽庭院评比等活动，激发内生动力。立足长远发展，探索规模化、专业化、社会化运营机制，保障基础设施建成并长期稳定运行。</w:t>
      </w:r>
    </w:p>
    <w:p>
      <w:pPr>
        <w:pStyle w:val="40"/>
      </w:pPr>
      <w:bookmarkStart w:id="356" w:name="_Toc154689018"/>
      <w:bookmarkStart w:id="357" w:name="_Toc156576498"/>
      <w:r>
        <w:t>三、积极推进美丽家园建设</w:t>
      </w:r>
      <w:bookmarkEnd w:id="356"/>
      <w:bookmarkEnd w:id="357"/>
    </w:p>
    <w:p>
      <w:pPr>
        <w:spacing w:line="560" w:lineRule="exact"/>
        <w:ind w:firstLine="562"/>
        <w:rPr>
          <w:b/>
        </w:rPr>
      </w:pPr>
      <w:r>
        <w:rPr>
          <w:rFonts w:hint="eastAsia"/>
          <w:bCs/>
          <w:szCs w:val="32"/>
        </w:rPr>
        <w:t>以美丽宜居建设为导向，以治理</w:t>
      </w:r>
      <w:r>
        <w:rPr>
          <w:bCs/>
          <w:szCs w:val="32"/>
        </w:rPr>
        <w:t>“</w:t>
      </w:r>
      <w:r>
        <w:rPr>
          <w:rFonts w:hint="eastAsia"/>
          <w:bCs/>
          <w:szCs w:val="32"/>
        </w:rPr>
        <w:t>脏、乱、差</w:t>
      </w:r>
      <w:r>
        <w:rPr>
          <w:bCs/>
          <w:szCs w:val="32"/>
        </w:rPr>
        <w:t>”</w:t>
      </w:r>
      <w:r>
        <w:rPr>
          <w:rFonts w:hint="eastAsia"/>
          <w:bCs/>
          <w:szCs w:val="32"/>
        </w:rPr>
        <w:t>为重点，与公共基础设施改善、乡村产业发展、乡风文明进步等互促互进。全面深化农村人居环境长效管护，持续巩固农村人居环境整治提升成果。</w:t>
      </w:r>
    </w:p>
    <w:p>
      <w:pPr>
        <w:pStyle w:val="15"/>
        <w:numPr>
          <w:ilvl w:val="0"/>
          <w:numId w:val="7"/>
        </w:numPr>
        <w:spacing w:line="560" w:lineRule="exact"/>
        <w:jc w:val="center"/>
      </w:pPr>
      <w:bookmarkStart w:id="358" w:name="_Toc156576499"/>
      <w:bookmarkEnd w:id="353"/>
      <w:r>
        <w:t>共享共建培育绿色生活方式</w:t>
      </w:r>
      <w:bookmarkEnd w:id="358"/>
    </w:p>
    <w:p>
      <w:pPr>
        <w:pStyle w:val="40"/>
      </w:pPr>
      <w:bookmarkStart w:id="359" w:name="_Toc154689020"/>
      <w:bookmarkStart w:id="360" w:name="_Hlk107409179"/>
      <w:bookmarkStart w:id="361" w:name="_Toc156576500"/>
      <w:r>
        <w:t>一、培育绿色低碳消费方式</w:t>
      </w:r>
      <w:bookmarkEnd w:id="359"/>
      <w:bookmarkEnd w:id="360"/>
      <w:bookmarkEnd w:id="361"/>
    </w:p>
    <w:p>
      <w:pPr>
        <w:pStyle w:val="38"/>
        <w:spacing w:line="560" w:lineRule="exact"/>
      </w:pPr>
      <w:bookmarkStart w:id="362" w:name="_Hlk107409201"/>
      <w:r>
        <w:t>引导公众积极践行《公民生态环境行为规范（试行）》和《江苏生态文明20条》，深入开展反过度包装、反粮食浪费、反过度消费行动，倡导简约适度、绿色低碳的生活方式和消费方式。引导绿色消费，推广节能、可再生能源等新技术和节能低碳节水产品应用。鼓励选购绿色、环保、可循环产品，减少使用一次性筷子、纸杯、塑料袋等制品，倡导低碳居住，鼓励使用节电型电器和照明产品。提倡低碳餐饮，推行“光盘行动”，遏制食品浪费，推广小份菜、分餐制等，推进易腐垃圾减量化。推广高科技环保材料服装产品，推广绿色无公害食品，培养良好的低碳穿衣饮食习惯。在快递行业推动绿色包装，加强快递包装回收体系建设，在快递营业网点设置专门的快递包装回收区。</w:t>
      </w:r>
    </w:p>
    <w:p>
      <w:pPr>
        <w:pStyle w:val="40"/>
      </w:pPr>
      <w:bookmarkStart w:id="363" w:name="_Toc154689021"/>
      <w:bookmarkStart w:id="364" w:name="_Toc156576501"/>
      <w:r>
        <w:t>二、持续优化绿色出行方案</w:t>
      </w:r>
      <w:bookmarkEnd w:id="363"/>
      <w:bookmarkEnd w:id="364"/>
    </w:p>
    <w:p>
      <w:pPr>
        <w:spacing w:line="560" w:lineRule="exact"/>
        <w:ind w:firstLineChars="200" w:firstLine="560"/>
      </w:pPr>
      <w:r>
        <w:t>加快推进轨道交通16号线、7号线、S2号线等线路的规划建设，提高轨道交通覆盖率。优化雨花内外交通网络，提供多样化的“最后一公里”接驳方式。加快新能源充电桩布局建设，提高公共停车场可充电停车位配比。完善慢行交通系统，加强自行车专用道和行人步道等城市慢行系统建设，构建“15分钟生活圈”。加强静态交通管理，加快共青团路中学等智能化停车设施建设，引导错时停车、资源共享。推动新能源车更新，新增和更新的环卫、通勤、轻型物流配送车辆原则上使用新能源或清洁能源汽车，鼓励五小工程车、小型装运机械、小型道路作业机械和小型乘用汽车优先使用新能源或清洁能源。鼓励绿色出行，优化交通信息服务平台，鼓励公众优先选择步行、骑车或乘坐公共交通工具出行，鼓励拼车或使用共享交通工具，倡导“1公里内步行、3公里内骑行、5公里内公共交通”的绿色低碳出行方式。</w:t>
      </w:r>
    </w:p>
    <w:p>
      <w:pPr>
        <w:pStyle w:val="40"/>
      </w:pPr>
      <w:bookmarkStart w:id="365" w:name="_Toc156576502"/>
      <w:bookmarkStart w:id="366" w:name="_Toc79247379"/>
      <w:bookmarkStart w:id="367" w:name="_Hlk91588281"/>
      <w:bookmarkStart w:id="368" w:name="_Toc154689022"/>
      <w:bookmarkEnd w:id="362"/>
      <w:r>
        <w:t>三、推广绿色节能办公模式</w:t>
      </w:r>
      <w:bookmarkEnd w:id="365"/>
      <w:bookmarkEnd w:id="366"/>
      <w:bookmarkEnd w:id="367"/>
      <w:bookmarkEnd w:id="368"/>
    </w:p>
    <w:p>
      <w:pPr>
        <w:spacing w:line="560" w:lineRule="exact"/>
        <w:ind w:firstLine="560"/>
      </w:pPr>
      <w:bookmarkStart w:id="369" w:name="_Hlk91588260"/>
      <w:r>
        <w:t>倡导绿色采购。政府以自身树立模范节约型机关样板，将绿色采购纳入政府采购管理办法，各级政府绿色采购比例达90%。倡导绿色节能办公，党政机关、事业单位带头节约使用和重复利用办公用品，减少办公过程能源消耗与污染物产生。推广低能耗产品、设施，提倡纸张双面使用，鼓励使用再生纸制品，推动无纸化办公；建立适当交易渠道，鼓励二手办公用品回收再利用</w:t>
      </w:r>
      <w:bookmarkStart w:id="370" w:name="_Hlk107409495"/>
      <w:r>
        <w:t>；严格执行冬夏空调温度控制标准，坚持夏季空调设定不低于26℃，冬季空调设定不高于20℃；倡导公共机构照明灯具全部更换为LED灯，白天办公充分利用自然采光，公共区域照明为感应灯具，楼外路灯采取间隔开放；建立节约型企业绿色办公评价标准。加强绿色采购和节能办公宣传力度，将公共机构节约能源资源的日常宣传与集中宣传相结合，发挥县内大型公司企业典范作用，号召中型企业、鼓励小型企业对员工进行绿色办公理念宣导，营造浓厚的绿色文化氛围。</w:t>
      </w:r>
      <w:bookmarkEnd w:id="369"/>
      <w:r>
        <w:br w:type="page"/>
      </w:r>
    </w:p>
    <w:p>
      <w:pPr>
        <w:spacing w:line="560" w:lineRule="exact"/>
        <w:ind w:firstLineChars="200" w:firstLine="560"/>
        <w:sectPr>
          <w:headerReference w:type="default" r:id="rId9"/>
          <w:footerReference w:type="default" r:id="rId10"/>
          <w:pgSz w:w="11906" w:h="16838"/>
          <w:pgMar w:top="1440" w:right="1474" w:bottom="1985" w:left="1588" w:header="851" w:footer="992" w:gutter="0"/>
          <w:docGrid w:type="linesAndChars" w:linePitch="312" w:charSpace="0"/>
        </w:sectPr>
      </w:pPr>
      <w:bookmarkEnd w:id="370"/>
    </w:p>
    <w:p>
      <w:pPr>
        <w:pStyle w:val="39"/>
        <w:spacing w:beforeLines="0" w:before="190" w:afterLines="0" w:after="190" w:line="560" w:lineRule="exact"/>
      </w:pPr>
      <w:bookmarkStart w:id="371" w:name="_Toc156576503"/>
      <w:r>
        <w:t>涵养生态思维，培育生态文化</w:t>
      </w:r>
      <w:bookmarkEnd w:id="371"/>
    </w:p>
    <w:p>
      <w:pPr>
        <w:pStyle w:val="15"/>
        <w:numPr>
          <w:ilvl w:val="0"/>
          <w:numId w:val="8"/>
        </w:numPr>
        <w:spacing w:line="560" w:lineRule="exact"/>
        <w:jc w:val="center"/>
      </w:pPr>
      <w:bookmarkStart w:id="372" w:name="_Toc156576504"/>
      <w:r>
        <w:t>推进生态文旅融合发展</w:t>
      </w:r>
      <w:bookmarkEnd w:id="372"/>
    </w:p>
    <w:p>
      <w:pPr>
        <w:pStyle w:val="40"/>
      </w:pPr>
      <w:bookmarkStart w:id="373" w:name="_Toc156576505"/>
      <w:bookmarkStart w:id="374" w:name="_Toc154689025"/>
      <w:r>
        <w:t>一、聚力生态文旅资源转化</w:t>
      </w:r>
      <w:bookmarkEnd w:id="373"/>
      <w:bookmarkEnd w:id="374"/>
    </w:p>
    <w:p>
      <w:pPr>
        <w:spacing w:line="560" w:lineRule="exact"/>
        <w:ind w:firstLineChars="200" w:firstLine="560"/>
        <w:rPr>
          <w:bCs/>
          <w:shd w:val="clear" w:color="auto" w:fill="FFFFFF"/>
        </w:rPr>
      </w:pPr>
      <w:r>
        <w:rPr>
          <w:b/>
          <w:bCs/>
          <w:shd w:val="clear" w:color="auto" w:fill="FFFFFF"/>
        </w:rPr>
        <w:t>实施全域旅游战略。</w:t>
      </w:r>
      <w:r>
        <w:rPr>
          <w:bCs/>
          <w:shd w:val="clear" w:color="auto" w:fill="FFFFFF"/>
        </w:rPr>
        <w:t>发挥雨花台区红色旅游资源、生态休闲资源、宗教旅游资源、历史文化资源、商贸工业资源的特色旅游资源优势，采用“龙头景区带动+城市全域辐射”模式，将雨花建设成为“宜居、宜游、宜养”的全域旅游名区。加速推进旅游产业全方位、大跨度、跳跃式发展，使旅游业成为雨花台区经济发展的重要产业，把雨花台区建成一流全域旅游目的地。</w:t>
      </w:r>
    </w:p>
    <w:p>
      <w:pPr>
        <w:spacing w:line="560" w:lineRule="exact"/>
        <w:ind w:firstLineChars="200" w:firstLine="560"/>
        <w:rPr>
          <w:bCs/>
          <w:shd w:val="clear" w:color="auto" w:fill="FFFFFF"/>
        </w:rPr>
      </w:pPr>
      <w:r>
        <w:rPr>
          <w:b/>
          <w:bCs/>
        </w:rPr>
        <w:t>弘扬红色文化精神。</w:t>
      </w:r>
      <w:r>
        <w:rPr>
          <w:bCs/>
          <w:shd w:val="clear" w:color="auto" w:fill="FFFFFF"/>
        </w:rPr>
        <w:t>利用雨花台区内丰富的红色旅游资源，包括雨花台烈士陵园、皖南事变三烈士墓、前驻外使节九烈士墓、</w:t>
      </w:r>
      <w:r>
        <w:rPr>
          <w:bCs/>
          <w:szCs w:val="28"/>
        </w:rPr>
        <w:t>南京民间抗日战争博物馆</w:t>
      </w:r>
      <w:r>
        <w:rPr>
          <w:bCs/>
          <w:shd w:val="clear" w:color="auto" w:fill="FFFFFF"/>
        </w:rPr>
        <w:t>等，弘扬红色精神，传承红色文化基因。以雨花台风景区为核心，联动周边区域，植入丰富多彩的红色体验项目，建设雨花台研学基地和红色文化休闲街区，</w:t>
      </w:r>
      <w:r>
        <w:t>打造雨花红色旅游精品游线，塑造红色教育基地的雨花强音</w:t>
      </w:r>
      <w:r>
        <w:rPr>
          <w:bCs/>
          <w:shd w:val="clear" w:color="auto" w:fill="FFFFFF"/>
        </w:rPr>
        <w:t>。</w:t>
      </w:r>
    </w:p>
    <w:p>
      <w:pPr>
        <w:spacing w:line="560" w:lineRule="exact"/>
        <w:ind w:firstLineChars="200" w:firstLine="560"/>
      </w:pPr>
      <w:r>
        <w:rPr>
          <w:b/>
          <w:bCs/>
        </w:rPr>
        <w:t>加强传统文化传承。</w:t>
      </w:r>
      <w:r>
        <w:t>做好雨花台区历史文化资源和重点非遗项目的保护性开发和体验性展示，整合以历史街区、遗址公园、文物古迹为重点的历史文化旅游资源，挖掘展示以民俗节庆、民间工艺等为主体的文化旅游体验项目。在景区开发可供游客欣赏、体验、互动的非物质文化遗产体验项目。加强文化开发，深度挖掘资源，以文旅融合为方向，加快探索形成资源活化利用新模式、新路径、新业态。</w:t>
      </w:r>
    </w:p>
    <w:p>
      <w:pPr>
        <w:spacing w:line="560" w:lineRule="exact"/>
        <w:ind w:firstLineChars="200" w:firstLine="560"/>
        <w:rPr>
          <w:b/>
        </w:rPr>
      </w:pPr>
      <w:r>
        <w:rPr>
          <w:b/>
        </w:rPr>
        <w:t>大力开发生态休闲资源。</w:t>
      </w:r>
      <w:r>
        <w:t>联动将军山、大石湖及牛首山北坡，以将军山、大石湖等丰富的山水资源为基底，以山水资源组合为特色，通过将军山、大石湖等核心文旅项目的建设，打造南河、板桥河、工农河生态休闲廊道，沿途布置服务驿站等配套设施。推进魅力开放滨江文旅的建设，结合三桥生态廊道与滨江岸线，整体打造为大胜关公园，启动滨江岸线转型第一站，利用大胜关码头闲置建筑生态化改造，建设大胜关历史文化馆。打造三山矶生态公园，注重诗词文化特色提升，增加休闲活动设施植入，对周边景观风貌进行控制，塑造宜人的体验空间。</w:t>
      </w:r>
    </w:p>
    <w:p>
      <w:pPr>
        <w:spacing w:line="560" w:lineRule="exact"/>
        <w:ind w:firstLineChars="200" w:firstLine="560"/>
      </w:pPr>
      <w:r>
        <w:rPr>
          <w:b/>
          <w:bCs/>
        </w:rPr>
        <w:t>推动“一带一路”建设。</w:t>
      </w:r>
      <w:r>
        <w:rPr>
          <w:bCs/>
          <w:shd w:val="clear" w:color="auto" w:fill="FFFFFF"/>
        </w:rPr>
        <w:t>结合“海上丝绸之路”申遗发展机遇，在继续巩固、加强与“一带一路”沿线友好城市友好往来的基础上，更好发挥南京与文莱等新友城平台作用，将浡泥国王纪念园打造成为国际文化交流中心，提升南京在对外交往交流中的国际影响力，加快汇聚信息流、资金流、人才流，进一步提升雨花经济、创新、文化、交通枢纽等核心功能和资源配置能力。</w:t>
      </w:r>
    </w:p>
    <w:p>
      <w:pPr>
        <w:pStyle w:val="40"/>
      </w:pPr>
      <w:bookmarkStart w:id="375" w:name="_Toc154689026"/>
      <w:bookmarkStart w:id="376" w:name="_Toc156576506"/>
      <w:r>
        <w:t>二、推进生态文旅融合发展</w:t>
      </w:r>
      <w:bookmarkEnd w:id="375"/>
      <w:bookmarkEnd w:id="376"/>
    </w:p>
    <w:p>
      <w:pPr>
        <w:spacing w:line="560" w:lineRule="exact"/>
        <w:ind w:firstLineChars="200" w:firstLine="560"/>
      </w:pPr>
      <w:r>
        <w:t>充分发挥文化和旅游融合发展的关联带动效应，整合相关优质资源，加强产业间良性融合，促进跨界融合发展。通过产业渗透、产业融合与业态创新，延伸到各个相关行业，从而延伸产业链，拓宽产业面，全力推动“文旅+”系列。</w:t>
      </w:r>
    </w:p>
    <w:p>
      <w:pPr>
        <w:spacing w:line="560" w:lineRule="exact"/>
        <w:ind w:firstLineChars="200" w:firstLine="560"/>
      </w:pPr>
      <w:r>
        <w:rPr>
          <w:b/>
          <w:bCs/>
        </w:rPr>
        <w:t>促进文化和旅游深度融合</w:t>
      </w:r>
      <w:r>
        <w:t>。坚持以文塑旅、以旅彰文，统筹谋划雨花红色体验核、滨江风光生态体验带、秦淮新河滨水休闲带等文旅资源的整合联动，努力赋予历史文化遗产更多的当代价值、时代意义。坚持从初级观光到文化休闲、从科普游览到特色体验、从山水游玩到主题度假、从产业开发到产旅融合的开发方向。</w:t>
      </w:r>
    </w:p>
    <w:p>
      <w:pPr>
        <w:spacing w:line="560" w:lineRule="exact"/>
        <w:ind w:firstLineChars="200" w:firstLine="560"/>
        <w:rPr>
          <w:bCs/>
        </w:rPr>
      </w:pPr>
      <w:r>
        <w:rPr>
          <w:b/>
          <w:bCs/>
        </w:rPr>
        <w:t>拓展科技与文旅产业融合发展。</w:t>
      </w:r>
      <w:r>
        <w:t>积极嫁接生态资源与雨花数字文化，打造雨花独具特色的“智慧+生态”品牌。</w:t>
      </w:r>
      <w:r>
        <w:rPr>
          <w:bCs/>
        </w:rPr>
        <w:t>依托雨花台区优越的数字产业资源，举办包括软件技术展示（参观）、科技成果创新大赛、软件专业人才交流、智慧旅游研讨会、大数据旅游专题论坛等活动，通过“科技+旅游”产业融合，促进产业深度融合，带动区域经济发展。</w:t>
      </w:r>
    </w:p>
    <w:p>
      <w:pPr>
        <w:spacing w:line="560" w:lineRule="exact"/>
        <w:ind w:firstLineChars="200" w:firstLine="560"/>
        <w:rPr>
          <w:bCs/>
        </w:rPr>
      </w:pPr>
      <w:r>
        <w:rPr>
          <w:b/>
          <w:bCs/>
        </w:rPr>
        <w:t>促进特色工业与文旅产业融合发展</w:t>
      </w:r>
      <w:r>
        <w:t>。</w:t>
      </w:r>
      <w:r>
        <w:rPr>
          <w:bCs/>
        </w:rPr>
        <w:t>以梅山矿区转型为核心，以历史博览和影视开发为主线，整合区域丰厚的历史遗存及梅山矿区资源，植入影视体验、休闲娱乐、生活服务等多种业态，</w:t>
      </w:r>
      <w:r>
        <w:t>呈现雨花发展转型过程中的时代体验</w:t>
      </w:r>
      <w:r>
        <w:rPr>
          <w:bCs/>
        </w:rPr>
        <w:t>。以梅山钢铁转型发展为核心，融入周边资源，打造以生活宜居、休闲游乐为特色的生活度假体验区，</w:t>
      </w:r>
      <w:r>
        <w:t>打造具有区域影响力的工业旅游品牌。</w:t>
      </w:r>
    </w:p>
    <w:p>
      <w:pPr>
        <w:spacing w:line="560" w:lineRule="exact"/>
        <w:ind w:firstLineChars="200" w:firstLine="560"/>
        <w:rPr>
          <w:bCs/>
        </w:rPr>
      </w:pPr>
      <w:r>
        <w:rPr>
          <w:b/>
          <w:bCs/>
        </w:rPr>
        <w:t>促进体育与文旅产业融合发展。</w:t>
      </w:r>
      <w:r>
        <w:rPr>
          <w:bCs/>
        </w:rPr>
        <w:t>丰富文旅体产品形态，举办全国航模等大型活动，立足区“足协杯”，引进高水平足球赛事，承接商业赛事，扩大区域影响力。依托莲花湖体育公园等开阔空间及体育设施，开展体育嘉年华活动，汇聚足球、篮球、石锁、风筝等体育项目，为广大市民提供独具魅力的运动体验。</w:t>
      </w:r>
    </w:p>
    <w:p>
      <w:pPr>
        <w:spacing w:line="560" w:lineRule="exact"/>
        <w:ind w:firstLineChars="200" w:firstLine="560"/>
        <w:rPr>
          <w:b/>
          <w:bCs/>
        </w:rPr>
      </w:pPr>
      <w:r>
        <w:rPr>
          <w:b/>
          <w:bCs/>
        </w:rPr>
        <w:t>促进教育与文旅产业融合发展。</w:t>
      </w:r>
      <w:r>
        <w:rPr>
          <w:bCs/>
        </w:rPr>
        <w:t>把握红色文化资源，依托软件资源优势，挖掘雨花地方文化与教育文化，发展特色研学旅游，引领雨花台区研学旅游新风尚。积极促进“红色旅游+教育”融合发展，强化教育功能，放大红色教育培训品牌效应。建设红色旅游研学示范基地，充分发挥红色旅游资政育人的重要作用。</w:t>
      </w:r>
    </w:p>
    <w:p>
      <w:pPr>
        <w:pStyle w:val="40"/>
      </w:pPr>
      <w:bookmarkStart w:id="377" w:name="_Toc154689027"/>
      <w:bookmarkStart w:id="378" w:name="_Toc156576507"/>
      <w:bookmarkStart w:id="379" w:name="_Toc117683776"/>
      <w:bookmarkStart w:id="380" w:name="_Hlk91573989"/>
      <w:r>
        <w:t>三、推进生态文化载体建设</w:t>
      </w:r>
      <w:bookmarkEnd w:id="377"/>
      <w:bookmarkEnd w:id="378"/>
      <w:bookmarkEnd w:id="379"/>
    </w:p>
    <w:p>
      <w:pPr>
        <w:pStyle w:val="45"/>
        <w:spacing w:line="560" w:lineRule="exact"/>
        <w:rPr>
          <w:rFonts w:eastAsia="方正仿宋_GBK"/>
          <w:szCs w:val="21"/>
        </w:rPr>
      </w:pPr>
      <w:r>
        <w:rPr>
          <w:rFonts w:eastAsia="方正仿宋_GBK"/>
          <w:szCs w:val="21"/>
        </w:rPr>
        <w:t>积极承接南京世界文学之都、世界体育名城目标任务，加强资源整合与共建共享，统筹区、街道、社区三级公共文体设施建设，优化文体设施布局。结合城市更新预留文体设施发展空间。整合现有文体设施资源，通过提档升级进一步挖掘服务潜能。强化政府投入，启动一批对雨花台区文体事业发展有长远影响的公共文体设施重点工程项目的规划与建设。推进数字文化馆、图书馆建设，以数字化推进文化惠民化，加强文化浸润。依托雨花台风景区内的南京生态文明教育馆，开展生态主题教育</w:t>
      </w:r>
      <w:bookmarkStart w:id="381" w:name="_GoBack"/>
      <w:bookmarkEnd w:id="381"/>
      <w:r>
        <w:rPr>
          <w:rFonts w:eastAsia="方正仿宋_GBK"/>
          <w:szCs w:val="21"/>
        </w:rPr>
        <w:t>，增加生态互动体验，向公众普及生态环境科普知识、宣传生态文明建设成就，拓宽公众参与生态建设和环境保护实践的途径，使生态文明教育馆成为南京城市新“绿标”。</w:t>
      </w:r>
    </w:p>
    <w:p>
      <w:pPr>
        <w:pStyle w:val="15"/>
        <w:numPr>
          <w:ilvl w:val="0"/>
          <w:numId w:val="8"/>
        </w:numPr>
        <w:spacing w:line="560" w:lineRule="exact"/>
        <w:jc w:val="center"/>
      </w:pPr>
      <w:bookmarkStart w:id="382" w:name="_Toc156576508"/>
      <w:bookmarkEnd w:id="380"/>
      <w:r>
        <w:t>加强生态文明宣传教育</w:t>
      </w:r>
      <w:bookmarkEnd w:id="382"/>
    </w:p>
    <w:p>
      <w:pPr>
        <w:pStyle w:val="40"/>
      </w:pPr>
      <w:bookmarkStart w:id="383" w:name="_Toc156576509"/>
      <w:bookmarkStart w:id="384" w:name="_Toc154689029"/>
      <w:r>
        <w:t>一、强化党政领导干部培训</w:t>
      </w:r>
      <w:bookmarkEnd w:id="383"/>
      <w:bookmarkEnd w:id="384"/>
    </w:p>
    <w:p>
      <w:pPr>
        <w:spacing w:line="560" w:lineRule="exact"/>
        <w:ind w:firstLineChars="200" w:firstLine="560"/>
      </w:pPr>
      <w:r>
        <w:rPr>
          <w:rFonts w:hint="eastAsia"/>
        </w:rPr>
        <w:t>结合深入开展学习贯彻习近平新时代中国特色社会主义思想主题教育，加强组织领导，落实工作任务，坚决扛起美丽南京建设的政治责任，加快推进人与自然和谐共生的现代化。全面开展学习培训，采取理论学习中心组学习、专题研讨、集中培训、座谈交流等多种方式，组织全体党员、干部职工认真学习全国大会精神、学习习近平总书记视察江苏重要讲话重要指示精神、学习省委十四届四次全会精神，并于深入与生态文明主题教育相融合</w:t>
      </w:r>
      <w:r>
        <w:t>，将生态文明教育列入各级党政机关干部培训教育的主要内容，设置生态文明建设相关课程。组织专题学习，提高各级领导的生态文明建设理论知识。</w:t>
      </w:r>
      <w:r>
        <w:rPr>
          <w:rFonts w:hint="eastAsia"/>
        </w:rPr>
        <w:t>同时，</w:t>
      </w:r>
      <w:r>
        <w:t>加大对各类党政领导干部的知识和技能培训，提升生态文明意识和生态环境保护科学素养。</w:t>
      </w:r>
    </w:p>
    <w:p>
      <w:pPr>
        <w:pStyle w:val="40"/>
      </w:pPr>
      <w:bookmarkStart w:id="385" w:name="_Toc154689030"/>
      <w:bookmarkStart w:id="386" w:name="_Toc156576510"/>
      <w:r>
        <w:t>二、广泛开展学校生态文明教育</w:t>
      </w:r>
      <w:bookmarkEnd w:id="385"/>
      <w:bookmarkEnd w:id="386"/>
    </w:p>
    <w:p>
      <w:pPr>
        <w:spacing w:line="560" w:lineRule="exact"/>
        <w:ind w:firstLineChars="200" w:firstLine="560"/>
      </w:pPr>
      <w:r>
        <w:t>深入开展生态文明主题教育实践活动，成立有关环保、自然以及生态文明的社团和兴趣小组，举办生态讲座</w:t>
      </w:r>
      <w:r>
        <w:rPr>
          <w:rFonts w:hint="eastAsia"/>
        </w:rPr>
        <w:t>、</w:t>
      </w:r>
      <w:r>
        <w:t>打造生态课堂。组织开展环保调研活动，参观节能减排高效实施的地方和单位。加强生态文明课程研制和师资培育，丰富各类生态环境保护实践活动，持续提升生态文明学校教育的综合能力。鼓励高等院校开设生态文明教育相关课程，培养生态环境保护专业人才，开展生态环境科学研究，发挥学生社团等组织的作用。结合绿色学校创建，把创建“绿色学校”活动贯穿于学校教育、教学、辅导、后勤等各方面的工作之中，使之形成全方位的一体化工程，最终实现“绿色管理”“绿色教学”“绿色环境”“绿化育人”“绿色活动”的学校特色。</w:t>
      </w:r>
    </w:p>
    <w:p>
      <w:pPr>
        <w:pStyle w:val="40"/>
      </w:pPr>
      <w:bookmarkStart w:id="387" w:name="_Toc154689031"/>
      <w:bookmarkStart w:id="388" w:name="_Toc156576511"/>
      <w:r>
        <w:t>三、强化企业生态文明责任意识</w:t>
      </w:r>
      <w:bookmarkEnd w:id="387"/>
      <w:bookmarkEnd w:id="388"/>
    </w:p>
    <w:p>
      <w:pPr>
        <w:spacing w:line="560" w:lineRule="exact"/>
        <w:ind w:firstLineChars="200" w:firstLine="560"/>
      </w:pPr>
      <w:r>
        <w:t>强化企业环境主体责任，增强企业生态意识、责任意识和自律意识，严格遵守新《环境保护法》《土壤污染防治法》等法律法规相关规定，落实企业污染全过程治理、损害赔偿、风险管控、生态修复责任。企业事业单位和其他生产经营者应当将生态文明教育纳入职工教育、培训计划，并结合实际以管理人员、环境保护设施运行操作维护人员等为重点对象开展生态文明教育，定期开展企业的清洁生产技术培训，重点培训与企业节能减排、清洁生产有关的绿色环保技术和管理方法，鼓励企业进行技术改造和创新。在确保安全的前提下，通过设立企业开放日、建设教育体验场所等形式，推进环保设施向公众开放，引导企业积极开展“绿色企业”创建。通过清洁生产、污染控制、环保措施、生态建设等担当社会责任的方式，帮助企业树立良好的生态、环保形象。</w:t>
      </w:r>
    </w:p>
    <w:p>
      <w:pPr>
        <w:pStyle w:val="40"/>
      </w:pPr>
      <w:bookmarkStart w:id="389" w:name="_Toc156576512"/>
      <w:bookmarkStart w:id="390" w:name="_Toc154689032"/>
      <w:r>
        <w:t>四、推进社区生态文明教育</w:t>
      </w:r>
      <w:bookmarkEnd w:id="389"/>
      <w:bookmarkEnd w:id="390"/>
    </w:p>
    <w:p>
      <w:pPr>
        <w:spacing w:line="560" w:lineRule="exact"/>
        <w:ind w:firstLineChars="200" w:firstLine="560"/>
      </w:pPr>
      <w:r>
        <w:t>统筹联合相关部门单位及公益组织，建立集宣传、科普、监督为一体的生态文明宣传相关机制。开发建设一批满足群众学习需求的环境教育课程资源，组织编写群众喜闻乐见的、符合群众工作生活需要的环境教育读本和培训资料。遴选一批热心公益的居民作为生态文明宣传志愿者，宣讲《江苏生态文明20条》及环保相关政策、常识；将家庭生态文明教育情况纳入评价标准，举办文明家庭、五好家庭、最美家庭等推选活动。引导公民践行绿色低碳生活方式，节约资源能源、保护生态环境，主动、自觉参与生态文明建设，逐步增强居民生态文明意识，推动构建生态文明建设全民宣传、全民关注、全民参与的社会氛围。</w:t>
      </w:r>
    </w:p>
    <w:p>
      <w:pPr>
        <w:pStyle w:val="15"/>
        <w:numPr>
          <w:ilvl w:val="0"/>
          <w:numId w:val="8"/>
        </w:numPr>
        <w:spacing w:line="560" w:lineRule="exact"/>
        <w:jc w:val="center"/>
      </w:pPr>
      <w:bookmarkStart w:id="391" w:name="_Toc156576513"/>
      <w:r>
        <w:t>全力推进生态文明共建共享</w:t>
      </w:r>
      <w:bookmarkEnd w:id="391"/>
    </w:p>
    <w:p>
      <w:pPr>
        <w:pStyle w:val="40"/>
      </w:pPr>
      <w:bookmarkStart w:id="392" w:name="_Toc154689034"/>
      <w:bookmarkStart w:id="393" w:name="_Toc156576514"/>
      <w:r>
        <w:t>一、构建生态文化宣传格局</w:t>
      </w:r>
      <w:bookmarkEnd w:id="392"/>
      <w:bookmarkEnd w:id="393"/>
    </w:p>
    <w:p>
      <w:pPr>
        <w:spacing w:line="560" w:lineRule="exact"/>
        <w:ind w:firstLine="560"/>
        <w:rPr>
          <w:shd w:val="clear" w:color="auto" w:fill="FFFFFF"/>
        </w:rPr>
      </w:pPr>
      <w:r>
        <w:rPr>
          <w:b/>
          <w:bCs/>
          <w:shd w:val="clear" w:color="auto" w:fill="FFFFFF"/>
        </w:rPr>
        <w:t>加强政府宣传引导。</w:t>
      </w:r>
      <w:r>
        <w:rPr>
          <w:bCs/>
          <w:shd w:val="clear" w:color="auto" w:fill="FFFFFF"/>
        </w:rPr>
        <w:t>充分发挥普德村路生态文明宣传教育基地——“南京市生态环境法治文化宣传教育示范基地”的宣传引导作用，增强大众的生态法治意识、倡导绿色发展理念。</w:t>
      </w:r>
      <w:r>
        <w:rPr>
          <w:shd w:val="clear" w:color="auto" w:fill="FFFFFF"/>
        </w:rPr>
        <w:t>在政府各相关部门网站、广播电台、各级党委机关报，如雨花台区人民政府网以及各职能部门网站等，结合部门实际工作，设置生态文明建设相关栏目，及时公开政府生态文明建设相关措施，发布环境质量信息，普及生态文明知识，树立生态文明建设先进典型，曝光重大环境违法和生态破坏事件。</w:t>
      </w:r>
    </w:p>
    <w:p>
      <w:pPr>
        <w:spacing w:line="560" w:lineRule="exact"/>
        <w:ind w:firstLine="560"/>
        <w:rPr>
          <w:bCs/>
        </w:rPr>
      </w:pPr>
      <w:r>
        <w:rPr>
          <w:b/>
          <w:bCs/>
          <w:shd w:val="clear" w:color="auto" w:fill="FFFFFF"/>
        </w:rPr>
        <w:t>加强媒体生态文明宣传。</w:t>
      </w:r>
      <w:r>
        <w:rPr>
          <w:rFonts w:hint="eastAsia"/>
          <w:bCs/>
          <w:shd w:val="clear" w:color="auto" w:fill="FFFFFF"/>
        </w:rPr>
        <w:t>充分利用生态环境部门官网、“两微”矩阵、报刊等载体，积极协调本地新闻媒体资源和力量，</w:t>
      </w:r>
      <w:r>
        <w:rPr>
          <w:shd w:val="clear" w:color="auto" w:fill="FFFFFF"/>
        </w:rPr>
        <w:t>利用广播、电视、网站、直播等媒体平台开展宣传工作，依托</w:t>
      </w:r>
      <w:r>
        <w:rPr>
          <w:bCs/>
        </w:rPr>
        <w:t>“江苏公共文化云”“新浪微博”“在南京”等网络平台丰富生态文化传播形式，</w:t>
      </w:r>
      <w:r>
        <w:rPr>
          <w:shd w:val="clear" w:color="auto" w:fill="FFFFFF"/>
        </w:rPr>
        <w:t>发挥榜样引领和辐射作用，形成全社会参与生态文明建设的氛围。在主流媒体播放生态环境主题公益广告，弘扬生态文明理念。着力加强对网络新媒体的应用，加强对公众感兴趣的环境信息和生态环境知识的宣传普及。完善生态环保宣传类网站建设，通过网站为公众提供更多的工作动态、环保资讯、办事流程、相关法律法规等方面的信息。重视户外媒体的宣传作用，在轨交、公交移动电视和主要公交线路车体上增加生态文明公益车体广告、宣传片。</w:t>
      </w:r>
    </w:p>
    <w:p>
      <w:pPr>
        <w:spacing w:line="560" w:lineRule="exact"/>
        <w:ind w:firstLineChars="200" w:firstLine="560"/>
        <w:rPr>
          <w:shd w:val="clear" w:color="auto" w:fill="FFFFFF"/>
        </w:rPr>
      </w:pPr>
      <w:r>
        <w:rPr>
          <w:b/>
          <w:bCs/>
          <w:shd w:val="clear" w:color="auto" w:fill="FFFFFF"/>
        </w:rPr>
        <w:t>广泛开展生态文化社会活动。</w:t>
      </w:r>
      <w:r>
        <w:rPr>
          <w:shd w:val="clear" w:color="auto" w:fill="FFFFFF"/>
        </w:rPr>
        <w:t>鼓励非政府组织、志愿者积极参与生态文明建设，不断壮大生态环保志愿者队伍，引导公众参与生态环保事业。</w:t>
      </w:r>
      <w:r>
        <w:t>结合“4·22”世界地球日、“5·22”生物多样性日和“6.5”世界环境日等特殊纪念日为重要窗口，</w:t>
      </w:r>
      <w:r>
        <w:rPr>
          <w:shd w:val="clear" w:color="auto" w:fill="FFFFFF"/>
        </w:rPr>
        <w:t>由政府相关部门主导，企业、民间环保组织和志愿者广泛参与，开展各类主题活动，普及生态文明相关知识，宣传生态文明建设最新理念；创新公众参与途径，提高群众的参与热情和践行生态文明理念的积极性，鼓励和支持湿地公园、公共文化设施等向公众优惠或者免费开放或在生态文明教育宣传周免费开放；鼓励符合条件的企业环境保护设施和城市污水垃圾处理设施等免费向社会开放，接受公众参观。</w:t>
      </w:r>
    </w:p>
    <w:p>
      <w:pPr>
        <w:pStyle w:val="40"/>
      </w:pPr>
      <w:bookmarkStart w:id="394" w:name="_Toc156576515"/>
      <w:bookmarkStart w:id="395" w:name="_Toc154689035"/>
      <w:r>
        <w:t>二、高效处理信访问题</w:t>
      </w:r>
      <w:bookmarkEnd w:id="394"/>
      <w:bookmarkEnd w:id="395"/>
    </w:p>
    <w:p>
      <w:pPr>
        <w:spacing w:line="560" w:lineRule="exact"/>
        <w:ind w:firstLineChars="200" w:firstLine="560"/>
        <w:rPr>
          <w:shd w:val="clear" w:color="auto" w:fill="FFFFFF"/>
        </w:rPr>
      </w:pPr>
      <w:r>
        <w:rPr>
          <w:b/>
          <w:bCs/>
        </w:rPr>
        <w:t>强化责任意识。</w:t>
      </w:r>
      <w:r>
        <w:rPr>
          <w:shd w:val="clear" w:color="auto" w:fill="FFFFFF"/>
        </w:rPr>
        <w:t>严格落实任务到部门，责任到个人，加强督</w:t>
      </w:r>
      <w:r>
        <w:rPr>
          <w:rFonts w:hint="eastAsia"/>
          <w:shd w:val="clear" w:color="auto" w:fill="FFFFFF"/>
        </w:rPr>
        <w:t>察</w:t>
      </w:r>
      <w:r>
        <w:rPr>
          <w:shd w:val="clear" w:color="auto" w:fill="FFFFFF"/>
        </w:rPr>
        <w:t>督办。规范信访工作处理流程，保证每件信访件得到及时有效查处，</w:t>
      </w:r>
      <w:r>
        <w:rPr>
          <w:sz w:val="27"/>
          <w:szCs w:val="27"/>
          <w:shd w:val="clear" w:color="auto" w:fill="FFFFFF"/>
        </w:rPr>
        <w:t>全力以赴推动</w:t>
      </w:r>
      <w:r>
        <w:rPr>
          <w:shd w:val="clear" w:color="auto" w:fill="FFFFFF"/>
        </w:rPr>
        <w:t>《信访工作条例》</w:t>
      </w:r>
      <w:r>
        <w:rPr>
          <w:sz w:val="27"/>
          <w:szCs w:val="27"/>
          <w:shd w:val="clear" w:color="auto" w:fill="FFFFFF"/>
        </w:rPr>
        <w:t>入脑入心、落地见效</w:t>
      </w:r>
      <w:r>
        <w:rPr>
          <w:shd w:val="clear" w:color="auto" w:fill="FFFFFF"/>
        </w:rPr>
        <w:t>。完善信访工作联席会议机制，锤炼一支忠诚可靠、作风优良的高素质信访工作队伍。以“环保大篷车+”为载体，充分发挥“党员服务队”“党员普法队”“党员治污攻坚队”三支队伍先锋模范作用，促进党建与业务工作深度融合，深入全区各街道窗口社区，建立“一对一”精准帮扶和“环境违法整改承诺”制，打开“助企纾困”新局面。</w:t>
      </w:r>
    </w:p>
    <w:p>
      <w:pPr>
        <w:spacing w:line="560" w:lineRule="exact"/>
        <w:ind w:firstLineChars="200" w:firstLine="560"/>
        <w:rPr>
          <w:b/>
          <w:bCs/>
        </w:rPr>
      </w:pPr>
      <w:r>
        <w:rPr>
          <w:b/>
          <w:bCs/>
        </w:rPr>
        <w:t>坚持依法行政。</w:t>
      </w:r>
      <w:r>
        <w:rPr>
          <w:bCs/>
        </w:rPr>
        <w:t>充分利用雨花台区生态环境保护合规教育中心暨环保公益诉讼、生态损害赔偿志愿者服务中心</w:t>
      </w:r>
      <w:r>
        <w:rPr>
          <w:sz w:val="27"/>
          <w:szCs w:val="27"/>
          <w:shd w:val="clear" w:color="auto" w:fill="FFFFFF"/>
        </w:rPr>
        <w:t>，把生态环境保护监管工作的重点由事后的查处转向事前的合规预防，由末端违法整改转变为源头的规范达标，提升企业环保管理能力水平。把强化法治宣传教育贯穿于信访工作全过程，引导信访群众学法知法守法，逐步由信访向信法转变。坚持依法行政、依法办事，严格落实访诉分离、依法分类处理、依法复查复核等规定要求，依法规范信访事项受理办理的每一个环节，保障群众合理合法诉求依照法律法规和程序得到合理合法的结果。</w:t>
      </w:r>
    </w:p>
    <w:p>
      <w:pPr>
        <w:spacing w:line="560" w:lineRule="exact"/>
        <w:ind w:firstLineChars="200" w:firstLine="560"/>
      </w:pPr>
      <w:r>
        <w:rPr>
          <w:b/>
          <w:bCs/>
        </w:rPr>
        <w:t>加强信访举报管理</w:t>
      </w:r>
      <w:r>
        <w:t>。引导群众对照《江苏省分类处理环境信访诉求问题法定途径清单》，依法信访</w:t>
      </w:r>
      <w:r>
        <w:rPr>
          <w:rFonts w:hint="eastAsia"/>
        </w:rPr>
        <w:t>、</w:t>
      </w:r>
      <w:r>
        <w:t>维护权益。强化网络舆情的监测与引导，将网络投诉纳入环境信访范畴，建立完善网络舆情工作平台，及时化解社会矛盾。</w:t>
      </w:r>
      <w:r>
        <w:rPr>
          <w:sz w:val="27"/>
          <w:szCs w:val="27"/>
          <w:shd w:val="clear" w:color="auto" w:fill="FFFFFF"/>
        </w:rPr>
        <w:t>坚持“事要解决”原则，</w:t>
      </w:r>
      <w:r>
        <w:t>因案施策化解信访积案，推进信访件及时有效化解。加强信访信息平台管理，规范录入各类环境信访处理结果，及时回复群众诉求，实现环境信访工作闭环管理，确保合理合法有效的环境信访诉求受理率、答复率100%，重点环境信访办结率100%。</w:t>
      </w:r>
    </w:p>
    <w:p>
      <w:pPr>
        <w:pStyle w:val="40"/>
      </w:pPr>
      <w:bookmarkStart w:id="396" w:name="_Toc154689036"/>
      <w:bookmarkStart w:id="397" w:name="_Toc156576516"/>
      <w:r>
        <w:t>三、开展绿色细胞创建活动</w:t>
      </w:r>
      <w:bookmarkEnd w:id="396"/>
      <w:bookmarkEnd w:id="397"/>
    </w:p>
    <w:p>
      <w:pPr>
        <w:spacing w:line="560" w:lineRule="exact"/>
        <w:ind w:firstLineChars="200" w:firstLine="560"/>
        <w:sectPr>
          <w:pgSz w:w="11906" w:h="16838"/>
          <w:pgMar w:top="1440" w:right="1800" w:bottom="1440" w:left="1800" w:header="851" w:footer="992" w:gutter="0"/>
          <w:docGrid w:type="linesAndChars" w:linePitch="381" w:charSpace="0"/>
        </w:sectPr>
      </w:pPr>
      <w:r>
        <w:t>广泛开展绿色细胞创建活动。积极开展“绿色机关”“绿色学校”“绿色社区”“绿色医院”“绿色家庭”等绿色细胞工程创建工作，完善生态文明建设的细胞组织。以绿色示范创建为载体，推广绿色低碳生活方式，扩大绿色低碳产品供给和消费，倡导群众形成简约适度、绿色低碳的生活方式。结合绿色学校创建，把绿色低碳教育纳入国民教育体系，推动生态环境保护和生态文明知识进课堂、进教材。</w:t>
      </w:r>
    </w:p>
    <w:p>
      <w:pPr>
        <w:pStyle w:val="39"/>
      </w:pPr>
      <w:bookmarkStart w:id="398" w:name="_Toc156576517"/>
      <w:bookmarkEnd w:id="94"/>
      <w:r>
        <w:t>重点工程</w:t>
      </w:r>
      <w:bookmarkEnd w:id="398"/>
    </w:p>
    <w:p>
      <w:pPr>
        <w:pStyle w:val="15"/>
        <w:numPr>
          <w:ilvl w:val="0"/>
          <w:numId w:val="9"/>
        </w:numPr>
        <w:jc w:val="center"/>
      </w:pPr>
      <w:bookmarkStart w:id="399" w:name="_Toc156576518"/>
      <w:r>
        <w:t>重点工程</w:t>
      </w:r>
      <w:bookmarkEnd w:id="399"/>
    </w:p>
    <w:p>
      <w:pPr>
        <w:spacing w:line="560" w:lineRule="exact"/>
        <w:ind w:firstLineChars="200" w:firstLine="560"/>
      </w:pPr>
      <w:r>
        <w:t>基于南京市雨花台区生态文明建设规划内容，统筹安排生态制度完善工程、生态安全保障工程、生态空间优化工程、生态经济培育工程、生态生活提升工程、生态文化引导工程6大体系、50项重点工程，总投资约61.44亿元。</w:t>
      </w:r>
    </w:p>
    <w:p>
      <w:pPr>
        <w:jc w:val="center"/>
        <w:rPr>
          <w:b/>
        </w:rPr>
      </w:pPr>
      <w:r>
        <w:rPr>
          <w:b/>
        </w:rPr>
        <w:t>表2 重点工程项目汇总表</w:t>
      </w:r>
    </w:p>
    <w:tbl>
      <w:tblPr>
        <w:jc w:val="left"/>
        <w:tblInd w:w="0" w:type="dxa"/>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144"/>
        <w:gridCol w:w="3139"/>
        <w:gridCol w:w="2275"/>
        <w:gridCol w:w="2275"/>
      </w:tblGrid>
      <w:tr>
        <w:trPr>
          <w:trHeight w:val="397"/>
        </w:trPr>
        <w:tc>
          <w:tcPr>
            <w:tcW w:w="582" w:type="pct"/>
            <w:tcBorders>
              <w:top w:val="single" w:sz="4" w:space="0" w:color="auto"/>
              <w:left w:val="single" w:sz="4" w:space="0" w:color="auto"/>
              <w:bottom w:val="single" w:sz="4" w:space="0" w:color="auto"/>
              <w:right w:val="single" w:sz="4" w:space="0" w:color="auto"/>
            </w:tcBorders>
            <w:noWrap/>
            <w:vAlign w:val="center"/>
          </w:tcPr>
          <w:p>
            <w:pPr>
              <w:adjustRightInd w:val="0"/>
              <w:snapToGrid w:val="0"/>
              <w:spacing w:line="240" w:lineRule="auto"/>
              <w:jc w:val="center"/>
              <w:rPr>
                <w:b/>
                <w:sz w:val="21"/>
              </w:rPr>
            </w:pPr>
            <w:r>
              <w:rPr>
                <w:b/>
                <w:sz w:val="21"/>
              </w:rPr>
              <w:t>序号</w:t>
            </w:r>
          </w:p>
        </w:tc>
        <w:tc>
          <w:tcPr>
            <w:tcW w:w="1834" w:type="pct"/>
            <w:tcBorders>
              <w:top w:val="single" w:sz="4" w:space="0" w:color="auto"/>
              <w:left w:val="single" w:sz="4" w:space="0" w:color="auto"/>
              <w:bottom w:val="single" w:sz="4" w:space="0" w:color="auto"/>
              <w:right w:val="single" w:sz="4" w:space="0" w:color="auto"/>
            </w:tcBorders>
            <w:noWrap/>
            <w:vAlign w:val="center"/>
          </w:tcPr>
          <w:p>
            <w:pPr>
              <w:adjustRightInd w:val="0"/>
              <w:snapToGrid w:val="0"/>
              <w:spacing w:line="240" w:lineRule="auto"/>
              <w:jc w:val="center"/>
              <w:rPr>
                <w:b/>
                <w:sz w:val="21"/>
              </w:rPr>
            </w:pPr>
            <w:r>
              <w:rPr>
                <w:b/>
                <w:sz w:val="21"/>
              </w:rPr>
              <w:t>工程名称</w:t>
            </w:r>
          </w:p>
        </w:tc>
        <w:tc>
          <w:tcPr>
            <w:tcW w:w="1292" w:type="pct"/>
            <w:tcBorders>
              <w:top w:val="single" w:sz="4" w:space="0" w:color="auto"/>
              <w:left w:val="single" w:sz="4" w:space="0" w:color="auto"/>
              <w:bottom w:val="single" w:sz="4" w:space="0" w:color="auto"/>
              <w:right w:val="single" w:sz="4" w:space="0" w:color="auto"/>
            </w:tcBorders>
            <w:noWrap/>
            <w:vAlign w:val="center"/>
          </w:tcPr>
          <w:p>
            <w:pPr>
              <w:adjustRightInd w:val="0"/>
              <w:snapToGrid w:val="0"/>
              <w:spacing w:line="240" w:lineRule="auto"/>
              <w:jc w:val="center"/>
              <w:rPr>
                <w:b/>
                <w:sz w:val="21"/>
              </w:rPr>
            </w:pPr>
            <w:r>
              <w:rPr>
                <w:b/>
                <w:sz w:val="21"/>
              </w:rPr>
              <w:t>项目数</w:t>
            </w:r>
          </w:p>
        </w:tc>
        <w:tc>
          <w:tcPr>
            <w:tcW w:w="1292" w:type="pct"/>
            <w:tcBorders>
              <w:top w:val="single" w:sz="4" w:space="0" w:color="auto"/>
              <w:left w:val="single" w:sz="4" w:space="0" w:color="auto"/>
              <w:bottom w:val="single" w:sz="4" w:space="0" w:color="auto"/>
              <w:right w:val="single" w:sz="4" w:space="0" w:color="auto"/>
            </w:tcBorders>
            <w:noWrap/>
            <w:vAlign w:val="center"/>
          </w:tcPr>
          <w:p>
            <w:pPr>
              <w:adjustRightInd w:val="0"/>
              <w:snapToGrid w:val="0"/>
              <w:spacing w:line="240" w:lineRule="auto"/>
              <w:jc w:val="center"/>
              <w:rPr>
                <w:b/>
                <w:sz w:val="21"/>
              </w:rPr>
            </w:pPr>
            <w:r>
              <w:rPr>
                <w:b/>
                <w:sz w:val="21"/>
              </w:rPr>
              <w:t>投资额（万元）</w:t>
            </w:r>
          </w:p>
        </w:tc>
      </w:tr>
      <w:tr>
        <w:trPr>
          <w:trHeight w:val="397"/>
        </w:trPr>
        <w:tc>
          <w:tcPr>
            <w:tcW w:w="582" w:type="pct"/>
            <w:tcBorders>
              <w:top w:val="single" w:sz="4" w:space="0" w:color="auto"/>
              <w:left w:val="single" w:sz="4" w:space="0" w:color="auto"/>
              <w:bottom w:val="single" w:sz="4" w:space="0" w:color="auto"/>
              <w:right w:val="single" w:sz="4" w:space="0" w:color="auto"/>
            </w:tcBorders>
            <w:noWrap/>
            <w:vAlign w:val="center"/>
          </w:tcPr>
          <w:p>
            <w:pPr>
              <w:adjustRightInd w:val="0"/>
              <w:snapToGrid w:val="0"/>
              <w:spacing w:line="240" w:lineRule="auto"/>
              <w:jc w:val="center"/>
              <w:rPr>
                <w:sz w:val="21"/>
              </w:rPr>
            </w:pPr>
            <w:bookmarkStart w:id="400" w:name="_Hlk408227659"/>
            <w:r>
              <w:rPr>
                <w:sz w:val="21"/>
              </w:rPr>
              <w:t>1</w:t>
            </w:r>
          </w:p>
        </w:tc>
        <w:tc>
          <w:tcPr>
            <w:tcW w:w="1834" w:type="pct"/>
            <w:tcBorders>
              <w:top w:val="single" w:sz="4" w:space="0" w:color="auto"/>
              <w:left w:val="single" w:sz="4" w:space="0" w:color="auto"/>
              <w:bottom w:val="single" w:sz="4" w:space="0" w:color="auto"/>
              <w:right w:val="single" w:sz="4" w:space="0" w:color="auto"/>
            </w:tcBorders>
            <w:noWrap/>
            <w:vAlign w:val="center"/>
          </w:tcPr>
          <w:p>
            <w:pPr>
              <w:adjustRightInd w:val="0"/>
              <w:snapToGrid w:val="0"/>
              <w:spacing w:line="240" w:lineRule="auto"/>
              <w:jc w:val="center"/>
              <w:rPr>
                <w:sz w:val="21"/>
              </w:rPr>
            </w:pPr>
            <w:r>
              <w:rPr>
                <w:sz w:val="21"/>
              </w:rPr>
              <w:t>生态制度完善工程</w:t>
            </w:r>
          </w:p>
        </w:tc>
        <w:tc>
          <w:tcPr>
            <w:tcW w:w="1292" w:type="pct"/>
            <w:tcBorders>
              <w:top w:val="single" w:sz="4" w:space="0" w:color="auto"/>
              <w:left w:val="single" w:sz="4" w:space="0" w:color="auto"/>
              <w:bottom w:val="single" w:sz="4" w:space="0" w:color="auto"/>
              <w:right w:val="single" w:sz="4" w:space="0" w:color="auto"/>
            </w:tcBorders>
            <w:shd w:val="clear" w:color="auto" w:fill="auto"/>
            <w:noWrap/>
            <w:vAlign w:val="center"/>
          </w:tcPr>
          <w:p>
            <w:pPr>
              <w:adjustRightInd w:val="0"/>
              <w:snapToGrid w:val="0"/>
              <w:spacing w:line="240" w:lineRule="auto"/>
              <w:jc w:val="center"/>
              <w:rPr>
                <w:sz w:val="21"/>
              </w:rPr>
            </w:pPr>
            <w:r>
              <w:rPr>
                <w:sz w:val="21"/>
              </w:rPr>
              <w:t>4</w:t>
            </w:r>
          </w:p>
        </w:tc>
        <w:tc>
          <w:tcPr>
            <w:tcW w:w="1292" w:type="pct"/>
            <w:tcBorders>
              <w:top w:val="single" w:sz="4" w:space="0" w:color="auto"/>
              <w:left w:val="single" w:sz="4" w:space="0" w:color="auto"/>
              <w:bottom w:val="single" w:sz="4" w:space="0" w:color="auto"/>
              <w:right w:val="single" w:sz="4" w:space="0" w:color="auto"/>
            </w:tcBorders>
            <w:noWrap/>
            <w:vAlign w:val="center"/>
          </w:tcPr>
          <w:p>
            <w:pPr>
              <w:adjustRightInd w:val="0"/>
              <w:snapToGrid w:val="0"/>
              <w:spacing w:line="240" w:lineRule="auto"/>
              <w:jc w:val="center"/>
              <w:rPr>
                <w:sz w:val="21"/>
              </w:rPr>
            </w:pPr>
            <w:r>
              <w:rPr>
                <w:sz w:val="21"/>
              </w:rPr>
              <w:t>500</w:t>
            </w:r>
          </w:p>
        </w:tc>
      </w:tr>
      <w:tr>
        <w:trPr>
          <w:trHeight w:val="397"/>
        </w:trPr>
        <w:tc>
          <w:tcPr>
            <w:tcW w:w="582" w:type="pct"/>
            <w:tcBorders>
              <w:top w:val="single" w:sz="4" w:space="0" w:color="auto"/>
              <w:left w:val="single" w:sz="4" w:space="0" w:color="auto"/>
              <w:bottom w:val="single" w:sz="4" w:space="0" w:color="auto"/>
              <w:right w:val="single" w:sz="4" w:space="0" w:color="auto"/>
            </w:tcBorders>
            <w:noWrap/>
            <w:vAlign w:val="center"/>
          </w:tcPr>
          <w:p>
            <w:pPr>
              <w:adjustRightInd w:val="0"/>
              <w:snapToGrid w:val="0"/>
              <w:spacing w:line="240" w:lineRule="auto"/>
              <w:jc w:val="center"/>
              <w:rPr>
                <w:sz w:val="21"/>
              </w:rPr>
            </w:pPr>
            <w:r>
              <w:rPr>
                <w:sz w:val="21"/>
              </w:rPr>
              <w:t>2</w:t>
            </w:r>
          </w:p>
        </w:tc>
        <w:tc>
          <w:tcPr>
            <w:tcW w:w="1834" w:type="pct"/>
            <w:tcBorders>
              <w:top w:val="single" w:sz="4" w:space="0" w:color="auto"/>
              <w:left w:val="single" w:sz="4" w:space="0" w:color="auto"/>
              <w:bottom w:val="single" w:sz="4" w:space="0" w:color="auto"/>
              <w:right w:val="single" w:sz="4" w:space="0" w:color="auto"/>
            </w:tcBorders>
            <w:noWrap/>
            <w:vAlign w:val="center"/>
          </w:tcPr>
          <w:p>
            <w:pPr>
              <w:adjustRightInd w:val="0"/>
              <w:snapToGrid w:val="0"/>
              <w:spacing w:line="240" w:lineRule="auto"/>
              <w:jc w:val="center"/>
              <w:rPr>
                <w:sz w:val="21"/>
              </w:rPr>
            </w:pPr>
            <w:r>
              <w:rPr>
                <w:sz w:val="21"/>
              </w:rPr>
              <w:t>生态安全保障工程</w:t>
            </w:r>
          </w:p>
        </w:tc>
        <w:tc>
          <w:tcPr>
            <w:tcW w:w="1292" w:type="pct"/>
            <w:tcBorders>
              <w:top w:val="single" w:sz="4" w:space="0" w:color="auto"/>
              <w:left w:val="single" w:sz="4" w:space="0" w:color="auto"/>
              <w:bottom w:val="single" w:sz="4" w:space="0" w:color="auto"/>
              <w:right w:val="single" w:sz="4" w:space="0" w:color="auto"/>
            </w:tcBorders>
            <w:shd w:val="clear" w:color="auto" w:fill="auto"/>
            <w:noWrap/>
            <w:vAlign w:val="center"/>
          </w:tcPr>
          <w:p>
            <w:pPr>
              <w:adjustRightInd w:val="0"/>
              <w:snapToGrid w:val="0"/>
              <w:spacing w:line="240" w:lineRule="auto"/>
              <w:jc w:val="center"/>
              <w:rPr>
                <w:sz w:val="21"/>
              </w:rPr>
            </w:pPr>
            <w:r>
              <w:rPr>
                <w:sz w:val="21"/>
              </w:rPr>
              <w:t>24</w:t>
            </w:r>
          </w:p>
        </w:tc>
        <w:tc>
          <w:tcPr>
            <w:tcW w:w="1292" w:type="pct"/>
            <w:tcBorders>
              <w:top w:val="single" w:sz="4" w:space="0" w:color="auto"/>
              <w:left w:val="single" w:sz="4" w:space="0" w:color="auto"/>
              <w:bottom w:val="single" w:sz="4" w:space="0" w:color="auto"/>
              <w:right w:val="single" w:sz="4" w:space="0" w:color="auto"/>
            </w:tcBorders>
            <w:noWrap/>
            <w:vAlign w:val="center"/>
          </w:tcPr>
          <w:p>
            <w:pPr>
              <w:adjustRightInd w:val="0"/>
              <w:snapToGrid w:val="0"/>
              <w:spacing w:line="240" w:lineRule="auto"/>
              <w:jc w:val="center"/>
              <w:rPr>
                <w:sz w:val="21"/>
              </w:rPr>
            </w:pPr>
            <w:r>
              <w:rPr>
                <w:sz w:val="21"/>
              </w:rPr>
              <w:t>174696.25</w:t>
            </w:r>
          </w:p>
        </w:tc>
      </w:tr>
      <w:tr>
        <w:trPr>
          <w:trHeight w:val="397"/>
        </w:trPr>
        <w:tc>
          <w:tcPr>
            <w:tcW w:w="582" w:type="pct"/>
            <w:tcBorders>
              <w:top w:val="single" w:sz="4" w:space="0" w:color="auto"/>
              <w:left w:val="single" w:sz="4" w:space="0" w:color="auto"/>
              <w:bottom w:val="single" w:sz="4" w:space="0" w:color="auto"/>
              <w:right w:val="single" w:sz="4" w:space="0" w:color="auto"/>
            </w:tcBorders>
            <w:noWrap/>
            <w:vAlign w:val="center"/>
          </w:tcPr>
          <w:p>
            <w:pPr>
              <w:adjustRightInd w:val="0"/>
              <w:snapToGrid w:val="0"/>
              <w:spacing w:line="240" w:lineRule="auto"/>
              <w:jc w:val="center"/>
              <w:rPr>
                <w:sz w:val="21"/>
              </w:rPr>
            </w:pPr>
            <w:r>
              <w:rPr>
                <w:sz w:val="21"/>
              </w:rPr>
              <w:t>3</w:t>
            </w:r>
          </w:p>
        </w:tc>
        <w:tc>
          <w:tcPr>
            <w:tcW w:w="1834" w:type="pct"/>
            <w:tcBorders>
              <w:top w:val="single" w:sz="4" w:space="0" w:color="auto"/>
              <w:left w:val="single" w:sz="4" w:space="0" w:color="auto"/>
              <w:bottom w:val="single" w:sz="4" w:space="0" w:color="auto"/>
              <w:right w:val="single" w:sz="4" w:space="0" w:color="auto"/>
            </w:tcBorders>
            <w:noWrap/>
            <w:vAlign w:val="center"/>
          </w:tcPr>
          <w:p>
            <w:pPr>
              <w:adjustRightInd w:val="0"/>
              <w:snapToGrid w:val="0"/>
              <w:spacing w:line="240" w:lineRule="auto"/>
              <w:jc w:val="center"/>
              <w:rPr>
                <w:sz w:val="21"/>
              </w:rPr>
            </w:pPr>
            <w:r>
              <w:rPr>
                <w:sz w:val="21"/>
              </w:rPr>
              <w:t>生态空间优化工程</w:t>
            </w:r>
          </w:p>
        </w:tc>
        <w:tc>
          <w:tcPr>
            <w:tcW w:w="1292" w:type="pct"/>
            <w:tcBorders>
              <w:top w:val="single" w:sz="4" w:space="0" w:color="auto"/>
              <w:left w:val="single" w:sz="4" w:space="0" w:color="auto"/>
              <w:bottom w:val="single" w:sz="4" w:space="0" w:color="auto"/>
              <w:right w:val="single" w:sz="4" w:space="0" w:color="auto"/>
            </w:tcBorders>
            <w:shd w:val="clear" w:color="auto" w:fill="auto"/>
            <w:noWrap/>
            <w:vAlign w:val="center"/>
          </w:tcPr>
          <w:p>
            <w:pPr>
              <w:adjustRightInd w:val="0"/>
              <w:snapToGrid w:val="0"/>
              <w:spacing w:line="240" w:lineRule="auto"/>
              <w:jc w:val="center"/>
              <w:rPr>
                <w:sz w:val="21"/>
              </w:rPr>
            </w:pPr>
            <w:r>
              <w:rPr>
                <w:sz w:val="21"/>
              </w:rPr>
              <w:t>7</w:t>
            </w:r>
          </w:p>
        </w:tc>
        <w:tc>
          <w:tcPr>
            <w:tcW w:w="1292" w:type="pct"/>
            <w:tcBorders>
              <w:top w:val="single" w:sz="4" w:space="0" w:color="auto"/>
              <w:left w:val="single" w:sz="4" w:space="0" w:color="auto"/>
              <w:bottom w:val="single" w:sz="4" w:space="0" w:color="auto"/>
              <w:right w:val="single" w:sz="4" w:space="0" w:color="auto"/>
            </w:tcBorders>
            <w:noWrap/>
            <w:vAlign w:val="center"/>
          </w:tcPr>
          <w:p>
            <w:pPr>
              <w:adjustRightInd w:val="0"/>
              <w:snapToGrid w:val="0"/>
              <w:spacing w:line="240" w:lineRule="auto"/>
              <w:jc w:val="center"/>
              <w:rPr>
                <w:sz w:val="21"/>
              </w:rPr>
            </w:pPr>
            <w:r>
              <w:rPr>
                <w:sz w:val="21"/>
              </w:rPr>
              <w:t>137604</w:t>
            </w:r>
          </w:p>
        </w:tc>
      </w:tr>
      <w:tr>
        <w:trPr>
          <w:trHeight w:val="397"/>
        </w:trPr>
        <w:tc>
          <w:tcPr>
            <w:tcW w:w="582" w:type="pct"/>
            <w:tcBorders>
              <w:top w:val="single" w:sz="4" w:space="0" w:color="auto"/>
              <w:left w:val="single" w:sz="4" w:space="0" w:color="auto"/>
              <w:bottom w:val="single" w:sz="4" w:space="0" w:color="auto"/>
              <w:right w:val="single" w:sz="4" w:space="0" w:color="auto"/>
            </w:tcBorders>
            <w:noWrap/>
            <w:vAlign w:val="center"/>
          </w:tcPr>
          <w:p>
            <w:pPr>
              <w:adjustRightInd w:val="0"/>
              <w:snapToGrid w:val="0"/>
              <w:spacing w:line="240" w:lineRule="auto"/>
              <w:jc w:val="center"/>
              <w:rPr>
                <w:sz w:val="21"/>
              </w:rPr>
            </w:pPr>
            <w:bookmarkEnd w:id="400"/>
            <w:r>
              <w:rPr>
                <w:sz w:val="21"/>
              </w:rPr>
              <w:t>4</w:t>
            </w:r>
          </w:p>
        </w:tc>
        <w:tc>
          <w:tcPr>
            <w:tcW w:w="1834" w:type="pct"/>
            <w:tcBorders>
              <w:top w:val="single" w:sz="4" w:space="0" w:color="auto"/>
              <w:left w:val="single" w:sz="4" w:space="0" w:color="auto"/>
              <w:bottom w:val="single" w:sz="4" w:space="0" w:color="auto"/>
              <w:right w:val="single" w:sz="4" w:space="0" w:color="auto"/>
            </w:tcBorders>
            <w:noWrap/>
            <w:vAlign w:val="center"/>
          </w:tcPr>
          <w:p>
            <w:pPr>
              <w:adjustRightInd w:val="0"/>
              <w:snapToGrid w:val="0"/>
              <w:spacing w:line="240" w:lineRule="auto"/>
              <w:jc w:val="center"/>
              <w:rPr>
                <w:sz w:val="21"/>
              </w:rPr>
            </w:pPr>
            <w:r>
              <w:rPr>
                <w:sz w:val="21"/>
              </w:rPr>
              <w:t>生态经济培育工程</w:t>
            </w:r>
          </w:p>
        </w:tc>
        <w:tc>
          <w:tcPr>
            <w:tcW w:w="1292" w:type="pct"/>
            <w:tcBorders>
              <w:top w:val="single" w:sz="4" w:space="0" w:color="auto"/>
              <w:left w:val="single" w:sz="4" w:space="0" w:color="auto"/>
              <w:bottom w:val="single" w:sz="4" w:space="0" w:color="auto"/>
              <w:right w:val="single" w:sz="4" w:space="0" w:color="auto"/>
            </w:tcBorders>
            <w:shd w:val="clear" w:color="auto" w:fill="auto"/>
            <w:noWrap/>
            <w:vAlign w:val="center"/>
          </w:tcPr>
          <w:p>
            <w:pPr>
              <w:adjustRightInd w:val="0"/>
              <w:snapToGrid w:val="0"/>
              <w:spacing w:line="240" w:lineRule="auto"/>
              <w:jc w:val="center"/>
              <w:rPr>
                <w:sz w:val="21"/>
              </w:rPr>
            </w:pPr>
            <w:r>
              <w:rPr>
                <w:sz w:val="21"/>
              </w:rPr>
              <w:t>6</w:t>
            </w:r>
          </w:p>
        </w:tc>
        <w:tc>
          <w:tcPr>
            <w:tcW w:w="1292" w:type="pct"/>
            <w:tcBorders>
              <w:top w:val="single" w:sz="4" w:space="0" w:color="auto"/>
              <w:left w:val="single" w:sz="4" w:space="0" w:color="auto"/>
              <w:bottom w:val="single" w:sz="4" w:space="0" w:color="auto"/>
              <w:right w:val="single" w:sz="4" w:space="0" w:color="auto"/>
            </w:tcBorders>
            <w:noWrap/>
            <w:vAlign w:val="center"/>
          </w:tcPr>
          <w:p>
            <w:pPr>
              <w:adjustRightInd w:val="0"/>
              <w:snapToGrid w:val="0"/>
              <w:spacing w:line="240" w:lineRule="auto"/>
              <w:jc w:val="center"/>
              <w:rPr>
                <w:sz w:val="21"/>
              </w:rPr>
            </w:pPr>
            <w:r>
              <w:rPr>
                <w:sz w:val="21"/>
              </w:rPr>
              <w:t>18200</w:t>
            </w:r>
          </w:p>
        </w:tc>
      </w:tr>
      <w:tr>
        <w:trPr>
          <w:trHeight w:val="397"/>
        </w:trPr>
        <w:tc>
          <w:tcPr>
            <w:tcW w:w="582" w:type="pct"/>
            <w:tcBorders>
              <w:top w:val="single" w:sz="4" w:space="0" w:color="auto"/>
              <w:left w:val="single" w:sz="4" w:space="0" w:color="auto"/>
              <w:bottom w:val="single" w:sz="4" w:space="0" w:color="auto"/>
              <w:right w:val="single" w:sz="4" w:space="0" w:color="auto"/>
            </w:tcBorders>
            <w:noWrap/>
            <w:vAlign w:val="center"/>
          </w:tcPr>
          <w:p>
            <w:pPr>
              <w:adjustRightInd w:val="0"/>
              <w:snapToGrid w:val="0"/>
              <w:spacing w:line="240" w:lineRule="auto"/>
              <w:jc w:val="center"/>
              <w:rPr>
                <w:sz w:val="21"/>
              </w:rPr>
            </w:pPr>
            <w:r>
              <w:rPr>
                <w:sz w:val="21"/>
              </w:rPr>
              <w:t>5</w:t>
            </w:r>
          </w:p>
        </w:tc>
        <w:tc>
          <w:tcPr>
            <w:tcW w:w="1834" w:type="pct"/>
            <w:tcBorders>
              <w:top w:val="single" w:sz="4" w:space="0" w:color="auto"/>
              <w:left w:val="single" w:sz="4" w:space="0" w:color="auto"/>
              <w:bottom w:val="single" w:sz="4" w:space="0" w:color="auto"/>
              <w:right w:val="single" w:sz="4" w:space="0" w:color="auto"/>
            </w:tcBorders>
            <w:noWrap/>
            <w:vAlign w:val="center"/>
          </w:tcPr>
          <w:p>
            <w:pPr>
              <w:adjustRightInd w:val="0"/>
              <w:snapToGrid w:val="0"/>
              <w:spacing w:line="240" w:lineRule="auto"/>
              <w:jc w:val="center"/>
              <w:rPr>
                <w:sz w:val="21"/>
              </w:rPr>
            </w:pPr>
            <w:r>
              <w:rPr>
                <w:sz w:val="21"/>
              </w:rPr>
              <w:t>生态生活提升工程</w:t>
            </w:r>
          </w:p>
        </w:tc>
        <w:tc>
          <w:tcPr>
            <w:tcW w:w="1292" w:type="pct"/>
            <w:tcBorders>
              <w:top w:val="single" w:sz="4" w:space="0" w:color="auto"/>
              <w:left w:val="single" w:sz="4" w:space="0" w:color="auto"/>
              <w:bottom w:val="single" w:sz="4" w:space="0" w:color="auto"/>
              <w:right w:val="single" w:sz="4" w:space="0" w:color="auto"/>
            </w:tcBorders>
            <w:shd w:val="clear" w:color="auto" w:fill="auto"/>
            <w:noWrap/>
            <w:vAlign w:val="center"/>
          </w:tcPr>
          <w:p>
            <w:pPr>
              <w:adjustRightInd w:val="0"/>
              <w:snapToGrid w:val="0"/>
              <w:spacing w:line="240" w:lineRule="auto"/>
              <w:jc w:val="center"/>
              <w:rPr>
                <w:sz w:val="21"/>
              </w:rPr>
            </w:pPr>
            <w:r>
              <w:rPr>
                <w:sz w:val="21"/>
              </w:rPr>
              <w:t>6</w:t>
            </w:r>
          </w:p>
        </w:tc>
        <w:tc>
          <w:tcPr>
            <w:tcW w:w="1292" w:type="pct"/>
            <w:tcBorders>
              <w:top w:val="single" w:sz="4" w:space="0" w:color="auto"/>
              <w:left w:val="single" w:sz="4" w:space="0" w:color="auto"/>
              <w:bottom w:val="single" w:sz="4" w:space="0" w:color="auto"/>
              <w:right w:val="single" w:sz="4" w:space="0" w:color="auto"/>
            </w:tcBorders>
            <w:noWrap/>
            <w:vAlign w:val="center"/>
          </w:tcPr>
          <w:p>
            <w:pPr>
              <w:adjustRightInd w:val="0"/>
              <w:snapToGrid w:val="0"/>
              <w:spacing w:line="240" w:lineRule="auto"/>
              <w:jc w:val="center"/>
              <w:rPr>
                <w:sz w:val="21"/>
              </w:rPr>
            </w:pPr>
            <w:r>
              <w:rPr>
                <w:sz w:val="21"/>
              </w:rPr>
              <w:t>283050</w:t>
            </w:r>
          </w:p>
        </w:tc>
      </w:tr>
      <w:tr>
        <w:trPr>
          <w:trHeight w:val="397"/>
        </w:trPr>
        <w:tc>
          <w:tcPr>
            <w:tcW w:w="582" w:type="pct"/>
            <w:tcBorders>
              <w:top w:val="single" w:sz="4" w:space="0" w:color="auto"/>
              <w:left w:val="single" w:sz="4" w:space="0" w:color="auto"/>
              <w:bottom w:val="single" w:sz="4" w:space="0" w:color="auto"/>
              <w:right w:val="single" w:sz="4" w:space="0" w:color="auto"/>
            </w:tcBorders>
            <w:noWrap/>
            <w:vAlign w:val="center"/>
          </w:tcPr>
          <w:p>
            <w:pPr>
              <w:adjustRightInd w:val="0"/>
              <w:snapToGrid w:val="0"/>
              <w:spacing w:line="240" w:lineRule="auto"/>
              <w:jc w:val="center"/>
              <w:rPr>
                <w:sz w:val="21"/>
              </w:rPr>
            </w:pPr>
            <w:r>
              <w:rPr>
                <w:sz w:val="21"/>
              </w:rPr>
              <w:t>6</w:t>
            </w:r>
          </w:p>
        </w:tc>
        <w:tc>
          <w:tcPr>
            <w:tcW w:w="1834" w:type="pct"/>
            <w:tcBorders>
              <w:top w:val="single" w:sz="4" w:space="0" w:color="auto"/>
              <w:left w:val="single" w:sz="4" w:space="0" w:color="auto"/>
              <w:bottom w:val="single" w:sz="4" w:space="0" w:color="auto"/>
              <w:right w:val="single" w:sz="4" w:space="0" w:color="auto"/>
            </w:tcBorders>
            <w:noWrap/>
            <w:vAlign w:val="center"/>
          </w:tcPr>
          <w:p>
            <w:pPr>
              <w:adjustRightInd w:val="0"/>
              <w:snapToGrid w:val="0"/>
              <w:spacing w:line="240" w:lineRule="auto"/>
              <w:jc w:val="center"/>
              <w:rPr>
                <w:sz w:val="21"/>
              </w:rPr>
            </w:pPr>
            <w:r>
              <w:rPr>
                <w:sz w:val="21"/>
              </w:rPr>
              <w:t>生态文化引导工程</w:t>
            </w:r>
          </w:p>
        </w:tc>
        <w:tc>
          <w:tcPr>
            <w:tcW w:w="1292" w:type="pct"/>
            <w:tcBorders>
              <w:top w:val="single" w:sz="4" w:space="0" w:color="auto"/>
              <w:left w:val="single" w:sz="4" w:space="0" w:color="auto"/>
              <w:bottom w:val="single" w:sz="4" w:space="0" w:color="auto"/>
              <w:right w:val="single" w:sz="4" w:space="0" w:color="auto"/>
            </w:tcBorders>
            <w:shd w:val="clear" w:color="auto" w:fill="auto"/>
            <w:noWrap/>
            <w:vAlign w:val="center"/>
          </w:tcPr>
          <w:p>
            <w:pPr>
              <w:adjustRightInd w:val="0"/>
              <w:snapToGrid w:val="0"/>
              <w:spacing w:line="240" w:lineRule="auto"/>
              <w:jc w:val="center"/>
              <w:rPr>
                <w:sz w:val="21"/>
              </w:rPr>
            </w:pPr>
            <w:r>
              <w:rPr>
                <w:sz w:val="21"/>
              </w:rPr>
              <w:t>3</w:t>
            </w:r>
          </w:p>
        </w:tc>
        <w:tc>
          <w:tcPr>
            <w:tcW w:w="1292" w:type="pct"/>
            <w:tcBorders>
              <w:top w:val="single" w:sz="4" w:space="0" w:color="auto"/>
              <w:left w:val="single" w:sz="4" w:space="0" w:color="auto"/>
              <w:bottom w:val="single" w:sz="4" w:space="0" w:color="auto"/>
              <w:right w:val="single" w:sz="4" w:space="0" w:color="auto"/>
            </w:tcBorders>
            <w:noWrap/>
            <w:vAlign w:val="center"/>
          </w:tcPr>
          <w:p>
            <w:pPr>
              <w:adjustRightInd w:val="0"/>
              <w:snapToGrid w:val="0"/>
              <w:spacing w:line="240" w:lineRule="auto"/>
              <w:jc w:val="center"/>
              <w:rPr>
                <w:sz w:val="21"/>
              </w:rPr>
            </w:pPr>
            <w:r>
              <w:rPr>
                <w:sz w:val="21"/>
              </w:rPr>
              <w:t>300</w:t>
            </w:r>
          </w:p>
        </w:tc>
      </w:tr>
      <w:tr>
        <w:trPr>
          <w:trHeight w:val="397"/>
        </w:trPr>
        <w:tc>
          <w:tcPr>
            <w:tcW w:w="2416" w:type="pct"/>
            <w:gridSpan w:val="2"/>
            <w:tcBorders>
              <w:top w:val="single" w:sz="4" w:space="0" w:color="auto"/>
              <w:left w:val="single" w:sz="4" w:space="0" w:color="auto"/>
              <w:bottom w:val="single" w:sz="4" w:space="0" w:color="auto"/>
              <w:right w:val="single" w:sz="4" w:space="0" w:color="auto"/>
            </w:tcBorders>
            <w:noWrap/>
            <w:vAlign w:val="center"/>
          </w:tcPr>
          <w:p>
            <w:pPr>
              <w:adjustRightInd w:val="0"/>
              <w:snapToGrid w:val="0"/>
              <w:spacing w:line="240" w:lineRule="auto"/>
              <w:jc w:val="center"/>
              <w:rPr>
                <w:sz w:val="21"/>
              </w:rPr>
            </w:pPr>
            <w:r>
              <w:rPr>
                <w:sz w:val="21"/>
              </w:rPr>
              <w:t>合计</w:t>
            </w:r>
          </w:p>
        </w:tc>
        <w:tc>
          <w:tcPr>
            <w:tcW w:w="1292" w:type="pct"/>
            <w:tcBorders>
              <w:top w:val="single" w:sz="4" w:space="0" w:color="auto"/>
              <w:left w:val="single" w:sz="4" w:space="0" w:color="auto"/>
              <w:bottom w:val="single" w:sz="4" w:space="0" w:color="auto"/>
              <w:right w:val="single" w:sz="4" w:space="0" w:color="auto"/>
            </w:tcBorders>
            <w:noWrap/>
            <w:vAlign w:val="center"/>
          </w:tcPr>
          <w:p>
            <w:pPr>
              <w:adjustRightInd w:val="0"/>
              <w:snapToGrid w:val="0"/>
              <w:spacing w:line="240" w:lineRule="auto"/>
              <w:jc w:val="center"/>
              <w:rPr>
                <w:sz w:val="21"/>
              </w:rPr>
            </w:pPr>
            <w:r>
              <w:rPr>
                <w:sz w:val="21"/>
              </w:rPr>
              <w:t>50</w:t>
            </w:r>
          </w:p>
        </w:tc>
        <w:tc>
          <w:tcPr>
            <w:tcW w:w="1292" w:type="pct"/>
            <w:tcBorders>
              <w:top w:val="single" w:sz="4" w:space="0" w:color="auto"/>
              <w:left w:val="single" w:sz="4" w:space="0" w:color="auto"/>
              <w:bottom w:val="single" w:sz="4" w:space="0" w:color="auto"/>
              <w:right w:val="single" w:sz="4" w:space="0" w:color="auto"/>
            </w:tcBorders>
            <w:noWrap/>
            <w:vAlign w:val="center"/>
          </w:tcPr>
          <w:p>
            <w:pPr>
              <w:adjustRightInd w:val="0"/>
              <w:snapToGrid w:val="0"/>
              <w:spacing w:line="240" w:lineRule="auto"/>
              <w:jc w:val="center"/>
              <w:rPr>
                <w:sz w:val="21"/>
              </w:rPr>
            </w:pPr>
            <w:r>
              <w:rPr>
                <w:sz w:val="21"/>
              </w:rPr>
              <w:t>614350.25</w:t>
            </w:r>
          </w:p>
        </w:tc>
      </w:tr>
    </w:tbl>
    <w:p>
      <w:pPr>
        <w:pStyle w:val="15"/>
        <w:numPr>
          <w:ilvl w:val="0"/>
          <w:numId w:val="9"/>
        </w:numPr>
        <w:jc w:val="center"/>
      </w:pPr>
      <w:bookmarkStart w:id="401" w:name="_Toc156576519"/>
      <w:bookmarkStart w:id="402" w:name="_Toc61968358"/>
      <w:bookmarkStart w:id="403" w:name="_Toc51940301"/>
      <w:bookmarkStart w:id="404" w:name="_Toc117683780"/>
      <w:bookmarkStart w:id="405" w:name="_Toc156569802"/>
      <w:r>
        <w:t>效益分析</w:t>
      </w:r>
      <w:bookmarkEnd w:id="401"/>
    </w:p>
    <w:p>
      <w:pPr>
        <w:pStyle w:val="40"/>
      </w:pPr>
      <w:bookmarkStart w:id="406" w:name="_Toc156576520"/>
      <w:bookmarkEnd w:id="402"/>
      <w:bookmarkEnd w:id="403"/>
      <w:bookmarkEnd w:id="404"/>
      <w:bookmarkEnd w:id="405"/>
      <w:r>
        <w:t>一、生态效益</w:t>
      </w:r>
      <w:bookmarkEnd w:id="406"/>
    </w:p>
    <w:p>
      <w:pPr>
        <w:spacing w:line="560" w:lineRule="exact"/>
        <w:ind w:firstLineChars="200" w:firstLine="560"/>
        <w:rPr>
          <w:b/>
        </w:rPr>
      </w:pPr>
      <w:r>
        <w:rPr>
          <w:b/>
        </w:rPr>
        <w:t>保障生态系统整体安全。</w:t>
      </w:r>
      <w:r>
        <w:t>本规划对于雨花台区自然生态系统提出具有针对性的保障措施，通过提高生物多样性保护、加强生物多样性安全管理和防控，优化空间布局、限制生产开发、推进环境综合整治，以达到保障整体生态系统安全以及优化生态系统服务功能的目的。</w:t>
      </w:r>
    </w:p>
    <w:p>
      <w:pPr>
        <w:spacing w:line="560" w:lineRule="exact"/>
        <w:ind w:firstLineChars="200" w:firstLine="560"/>
        <w:rPr>
          <w:b/>
        </w:rPr>
      </w:pPr>
      <w:r>
        <w:rPr>
          <w:b/>
        </w:rPr>
        <w:t>促进环境质量稳步改善。</w:t>
      </w:r>
      <w:r>
        <w:t>环境质量的稳步、持续改善，既要从源头削减污染物质的产生与排放，同时也要求在末端修复受损环境受体。在源头控制方面，通过产业持续升级等，大力发展高新技术产业，强化城区生活污染治理，加强雨污管网排查整治，进一步减少污染物质产生的来源。在末端治理方面，开展水体的生态修复工程，改善环境受体状况，加快废弃物资源化利用进程，形成物质循环机制。</w:t>
      </w:r>
    </w:p>
    <w:p>
      <w:pPr>
        <w:pStyle w:val="40"/>
      </w:pPr>
      <w:bookmarkStart w:id="407" w:name="_Toc156576521"/>
      <w:r>
        <w:t>二、经济效益</w:t>
      </w:r>
      <w:bookmarkEnd w:id="407"/>
    </w:p>
    <w:p>
      <w:pPr>
        <w:spacing w:line="560" w:lineRule="exact"/>
        <w:ind w:firstLineChars="200" w:firstLine="560"/>
        <w:rPr>
          <w:b/>
        </w:rPr>
      </w:pPr>
      <w:r>
        <w:rPr>
          <w:b/>
        </w:rPr>
        <w:t>推动产业结构转型升级。</w:t>
      </w:r>
      <w:r>
        <w:t>通过生态文明建设规划的制定及重点工程的实施，一方面，将有效促进产业链升级以及绿色经济发展，提升经济发展的资源、能源利用效率，逐步形成绿色化、生态化、可持续的长效机制。另一方面，加快推进战略性新兴产业、高新技术产业、现代服务业等进一步集聚和发展，对于推动经济高质量发展，具有非常重要的促进作用。</w:t>
      </w:r>
    </w:p>
    <w:p>
      <w:pPr>
        <w:spacing w:line="560" w:lineRule="exact"/>
        <w:ind w:firstLineChars="200" w:firstLine="560"/>
        <w:rPr>
          <w:b/>
        </w:rPr>
      </w:pPr>
      <w:r>
        <w:rPr>
          <w:b/>
        </w:rPr>
        <w:t>提升发展效率，降低发展成本。</w:t>
      </w:r>
      <w:r>
        <w:t>通过强化污染综合防治，减少人为活动造成的污染物排放总量，缓解环境容量压力，有效释放更多的环境容量空间，为未来较长一段时期的社会经济发展提供了充分的生态环境缓冲量。同时推进生产效率的优化，减少资源、能源的具体成本，构建循环经济体系。此外，生态环境质量提升可以降低水体修复、空气净化、土壤修复、隔声降噪等方面的资金投入，有效降低生态受损的修复成本。</w:t>
      </w:r>
    </w:p>
    <w:p>
      <w:pPr>
        <w:pStyle w:val="40"/>
      </w:pPr>
      <w:bookmarkStart w:id="408" w:name="_Toc156576522"/>
      <w:r>
        <w:t>三、经济效益</w:t>
      </w:r>
      <w:bookmarkEnd w:id="408"/>
    </w:p>
    <w:p>
      <w:pPr>
        <w:spacing w:line="560" w:lineRule="exact"/>
        <w:ind w:firstLineChars="200" w:firstLine="560"/>
        <w:rPr>
          <w:b/>
        </w:rPr>
      </w:pPr>
      <w:r>
        <w:rPr>
          <w:b/>
        </w:rPr>
        <w:t>构建生态化的基础设施系统。</w:t>
      </w:r>
      <w:r>
        <w:t>通过实施城区环境改善、绿色出行基础设施建设、绿色建筑的试点与推广等具体举措，在生态文明建设的总体框架内，将逐步构建起更为宜居、更为亲善、更符合绿色发展的社会基础设施体系，为城市建设和发展提供综合载体，在保障经济发展的同时，也促进人民生活方式的改善。</w:t>
      </w:r>
    </w:p>
    <w:p>
      <w:pPr>
        <w:spacing w:line="560" w:lineRule="exact"/>
        <w:ind w:firstLineChars="200" w:firstLine="560"/>
        <w:rPr>
          <w:b/>
        </w:rPr>
        <w:sectPr>
          <w:pgSz w:w="11906" w:h="16838"/>
          <w:pgMar w:top="1440" w:right="1474" w:bottom="1985" w:left="1588" w:header="851" w:footer="992" w:gutter="0"/>
          <w:docGrid w:type="linesAndChars" w:linePitch="312" w:charSpace="0"/>
        </w:sectPr>
      </w:pPr>
      <w:r>
        <w:rPr>
          <w:b/>
        </w:rPr>
        <w:t>形成生态文明制度文化体系。</w:t>
      </w:r>
      <w:r>
        <w:t>普及习近平生态文明思想和文化，将从多方面转变人民群众的传统发展观念，提升公众的自主环保意识和整体文明水平，加快经济社会发展全面绿色转型。同时，通过生态文明制度的建设，探索政府管理模式及绩效考核机制的优化思路，能够逐步增强政府绿色管理能力，切实从管理者角度保障生态化、高质量、可持续发展。</w:t>
      </w:r>
    </w:p>
    <w:p>
      <w:pPr>
        <w:pStyle w:val="39"/>
        <w:spacing w:beforeLines="0" w:before="190" w:afterLines="0" w:after="190" w:line="560" w:lineRule="exact"/>
      </w:pPr>
      <w:bookmarkStart w:id="409" w:name="_Toc156576523"/>
      <w:r>
        <w:t>保障措施</w:t>
      </w:r>
      <w:bookmarkEnd w:id="409"/>
    </w:p>
    <w:p>
      <w:pPr>
        <w:pStyle w:val="15"/>
        <w:numPr>
          <w:ilvl w:val="0"/>
          <w:numId w:val="10"/>
        </w:numPr>
        <w:spacing w:line="560" w:lineRule="exact"/>
        <w:jc w:val="center"/>
      </w:pPr>
      <w:bookmarkStart w:id="410" w:name="_Toc156576524"/>
      <w:r>
        <w:t>坚持组织领导与统筹协调</w:t>
      </w:r>
      <w:bookmarkEnd w:id="410"/>
    </w:p>
    <w:p>
      <w:pPr>
        <w:spacing w:line="560" w:lineRule="exact"/>
        <w:ind w:firstLineChars="200" w:firstLine="560"/>
      </w:pPr>
      <w:r>
        <w:t>建立由雨花台区区委区政府主要领导负责，政府各部门主管领导及具体负责人参加的雨花台区生态文明建设领导小组，研究审议区域生态文明建设方面的重大政策、重大项目和年度工作安排。领导小组统一对全区生态文明建设工作进行综合规划、管理和协调。充分发挥各部门、各街道主管领导在推进雨花台区生态文明建设过程中的领导协调作用和战斗堡垒作用，共同制定行为准则，明确年度工作计划，激励干部担当作为，全面调动各部门、各街道干部干事工作的积极性、主动性、创造性。</w:t>
      </w:r>
    </w:p>
    <w:p>
      <w:pPr>
        <w:spacing w:line="560" w:lineRule="exact"/>
        <w:ind w:firstLine="560"/>
      </w:pPr>
      <w:r>
        <w:t>建立和完善生态文明建设的目标责任制。雨花台区生态文明建设领导小组办公室把生态文明建设目标、指标和任务分解落实到各级党委、政府及各部门，落实责任，分工合作。各级党委、政府及各部门按照建设生态文明建设规划的要求，制定目标任务书和实施方案，具体落实到责任部门、责任单位和责任人。</w:t>
      </w:r>
    </w:p>
    <w:p>
      <w:pPr>
        <w:pStyle w:val="15"/>
        <w:numPr>
          <w:ilvl w:val="0"/>
          <w:numId w:val="10"/>
        </w:numPr>
        <w:spacing w:line="560" w:lineRule="exact"/>
        <w:jc w:val="center"/>
      </w:pPr>
      <w:bookmarkStart w:id="411" w:name="_Toc156576525"/>
      <w:r>
        <w:t>落实政策支持与资金保障</w:t>
      </w:r>
      <w:bookmarkEnd w:id="411"/>
    </w:p>
    <w:p>
      <w:pPr>
        <w:spacing w:line="560" w:lineRule="exact"/>
        <w:ind w:firstLine="560"/>
      </w:pPr>
      <w:r>
        <w:t>将生态文明建设作为公共财政支出的重点，建立稳定的投资增长机制，积极争取国家、江苏省环保专项补助资金，落实地方配套资金，并做好资金使用绩效评价和项目后续管理。按照“政府引导、社会参与、市场运作”的要求，鼓励不同经济成分和各类投资主体，以多种形式参与生态文明工程建设，拓展市场化融资渠道，鼓励、引导等形式参与雨花台区生态文明建设。建立有效的资金专款专用监管制度，严格执行投资问效、追踪管理。对资金的来源、申请、使用进行严格的审核，对资金使用全过程进行监督，对资金使用的重大失误进行责任追究。</w:t>
      </w:r>
    </w:p>
    <w:p>
      <w:pPr>
        <w:pStyle w:val="15"/>
        <w:numPr>
          <w:ilvl w:val="0"/>
          <w:numId w:val="10"/>
        </w:numPr>
        <w:spacing w:line="560" w:lineRule="exact"/>
        <w:jc w:val="center"/>
      </w:pPr>
      <w:bookmarkStart w:id="412" w:name="_Toc156576526"/>
      <w:r>
        <w:t>加大研发扶持与人才培养</w:t>
      </w:r>
      <w:bookmarkEnd w:id="412"/>
    </w:p>
    <w:p>
      <w:pPr>
        <w:spacing w:line="560" w:lineRule="exact"/>
        <w:ind w:firstLineChars="200" w:firstLine="560"/>
      </w:pPr>
      <w:r>
        <w:t>加大对企业技术研发的扶持力度，在信贷、税收、财政等方面对高新技术企业予以倾斜，鼓励企业加大自主研发力度，提升自主研发能力，不断改进生产工艺，淘汰落后生产工艺。完善社会技术服务体系建设，积极为企业开展技术服务，引导企业采用新技术、新工艺。建立高新技术转化和转让的服务基地，发挥政府的行政指导和行政服务职能，促进高新技术得以合理转化及运用。</w:t>
      </w:r>
    </w:p>
    <w:p>
      <w:pPr>
        <w:spacing w:line="560" w:lineRule="exact"/>
        <w:ind w:firstLineChars="200" w:firstLine="560"/>
      </w:pPr>
      <w:r>
        <w:t>切实加大高层次高技能人才的培养、引进和使用力度，推进高端领军型科技人才集聚和海外创新创业人才集聚。着力打造多层次、多功能、具有区域特色的人才市场体系，不断完善人才激励政策，保障人才各项待遇落实，优化人才发展环境。积极与南京市、周边及国内外高等院校和科研院所建立合作关系，建立专家智囊团，指导生态文明建设的全过程。</w:t>
      </w:r>
    </w:p>
    <w:p>
      <w:pPr>
        <w:pStyle w:val="15"/>
        <w:numPr>
          <w:ilvl w:val="0"/>
          <w:numId w:val="10"/>
        </w:numPr>
        <w:spacing w:line="560" w:lineRule="exact"/>
        <w:jc w:val="center"/>
      </w:pPr>
      <w:bookmarkStart w:id="413" w:name="_Toc156576527"/>
      <w:r>
        <w:t>强化信息公开与公众参与</w:t>
      </w:r>
      <w:bookmarkEnd w:id="413"/>
    </w:p>
    <w:p>
      <w:pPr>
        <w:spacing w:line="560" w:lineRule="exact"/>
        <w:ind w:firstLineChars="200" w:firstLine="560"/>
      </w:pPr>
      <w:r>
        <w:t>多渠道、多层次、多形式地开展生态文明建设的舆论宣传，使公众深入了解规划确定的方针政策和发展蓝图，让生态文明理念深植人心。建立及完善相关保障公众参与的政策和法规，引导和调动公众参与到与区域发展和生态文明建设相关，尤其是易造成邻避现象的项目、计划、规划、政策制定和评估活动中，拓宽公众参与社会事务的范围。建立畅通的沟通与诉求通道，充分发挥各类投诉举报热线和微博、微信等新媒体作用，通过多种途径收集民意，形成多方利益主体协商一致的决策结果，保证公众的知情权和参与权。</w:t>
      </w:r>
    </w:p>
    <w:p>
      <w:pPr>
        <w:widowControl/>
        <w:spacing w:line="240" w:lineRule="auto"/>
        <w:jc w:val="left"/>
        <w:rPr>
          <w:rFonts w:eastAsia="方正黑体_GBK"/>
          <w:bCs/>
          <w:kern w:val="44"/>
          <w:sz w:val="36"/>
          <w:szCs w:val="30"/>
        </w:rPr>
        <w:sectPr>
          <w:pgSz w:w="11906" w:h="16838"/>
          <w:pgMar w:top="1440" w:right="1800" w:bottom="1440" w:left="1800" w:header="851" w:footer="992" w:gutter="0"/>
          <w:docGrid w:type="linesAndChars" w:linePitch="381" w:charSpace="0"/>
        </w:sectPr>
      </w:pPr>
    </w:p>
    <w:p>
      <w:pPr>
        <w:tabs>
          <w:tab w:val="left" w:pos="720"/>
        </w:tabs>
        <w:rPr>
          <w:rFonts w:ascii="方正黑体_GBK" w:eastAsia="方正黑体_GBK" w:hint="eastAsia"/>
          <w:bCs/>
          <w:szCs w:val="28"/>
        </w:rPr>
      </w:pPr>
      <w:bookmarkStart w:id="414" w:name="_Hlk52745352"/>
      <w:r>
        <w:rPr>
          <w:rFonts w:ascii="方正黑体_GBK" w:eastAsia="方正黑体_GBK" w:hint="eastAsia"/>
          <w:bCs/>
          <w:szCs w:val="28"/>
        </w:rPr>
        <w:t>附表  雨花台区生态文明建设规划重点工程</w:t>
      </w:r>
    </w:p>
    <w:tbl>
      <w:tblPr>
        <w:jc w:val="left"/>
        <w:tblInd w:w="-157" w:type="dxa"/>
        <w:tblW w:w="5059"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tblGrid>
        <w:gridCol w:w="1896"/>
        <w:gridCol w:w="638"/>
        <w:gridCol w:w="5256"/>
        <w:gridCol w:w="28426"/>
        <w:gridCol w:w="1126"/>
        <w:gridCol w:w="1699"/>
        <w:gridCol w:w="8196"/>
      </w:tblGrid>
      <w:tr>
        <w:trPr>
          <w:trHeight w:val="340"/>
          <w:tblHeader/>
        </w:trPr>
        <w:tc>
          <w:tcPr>
            <w:tcW w:w="287" w:type="pct"/>
            <w:tcBorders>
              <w:top w:val="single" w:sz="4" w:space="0" w:color="auto"/>
              <w:left w:val="single" w:sz="4" w:space="0" w:color="auto"/>
              <w:bottom w:val="single" w:sz="4" w:space="0" w:color="auto"/>
              <w:right w:val="single" w:sz="4" w:space="0" w:color="auto"/>
            </w:tcBorders>
            <w:shd w:val="clear" w:color="auto" w:fill="auto"/>
            <w:noWrap/>
            <w:vAlign w:val="center"/>
          </w:tcPr>
          <w:p>
            <w:pPr>
              <w:adjustRightInd w:val="0"/>
              <w:snapToGrid w:val="0"/>
              <w:spacing w:line="240" w:lineRule="auto"/>
              <w:jc w:val="center"/>
              <w:rPr>
                <w:b/>
                <w:sz w:val="21"/>
              </w:rPr>
            </w:pPr>
            <w:bookmarkEnd w:id="414"/>
            <w:r>
              <w:rPr>
                <w:b/>
                <w:sz w:val="21"/>
              </w:rPr>
              <w:t>类别</w:t>
            </w:r>
          </w:p>
        </w:tc>
        <w:tc>
          <w:tcPr>
            <w:tcW w:w="173" w:type="pct"/>
            <w:tcBorders>
              <w:top w:val="single" w:sz="4" w:space="0" w:color="auto"/>
              <w:left w:val="single" w:sz="4" w:space="0" w:color="auto"/>
              <w:bottom w:val="single" w:sz="4" w:space="0" w:color="auto"/>
              <w:right w:val="single" w:sz="4" w:space="0" w:color="auto"/>
            </w:tcBorders>
            <w:shd w:val="clear" w:color="auto" w:fill="auto"/>
            <w:noWrap/>
            <w:vAlign w:val="center"/>
          </w:tcPr>
          <w:p>
            <w:pPr>
              <w:adjustRightInd w:val="0"/>
              <w:snapToGrid w:val="0"/>
              <w:spacing w:line="240" w:lineRule="auto"/>
              <w:jc w:val="center"/>
              <w:rPr>
                <w:b/>
                <w:sz w:val="21"/>
              </w:rPr>
            </w:pPr>
            <w:r>
              <w:rPr>
                <w:b/>
                <w:sz w:val="21"/>
              </w:rPr>
              <w:t>序号</w:t>
            </w:r>
          </w:p>
        </w:tc>
        <w:tc>
          <w:tcPr>
            <w:tcW w:w="798" w:type="pct"/>
            <w:tcBorders>
              <w:top w:val="single" w:sz="4" w:space="0" w:color="auto"/>
              <w:left w:val="single" w:sz="4" w:space="0" w:color="auto"/>
              <w:bottom w:val="single" w:sz="4" w:space="0" w:color="auto"/>
              <w:right w:val="single" w:sz="4" w:space="0" w:color="auto"/>
            </w:tcBorders>
            <w:shd w:val="clear" w:color="auto" w:fill="auto"/>
            <w:noWrap/>
            <w:vAlign w:val="center"/>
          </w:tcPr>
          <w:p>
            <w:pPr>
              <w:adjustRightInd w:val="0"/>
              <w:snapToGrid w:val="0"/>
              <w:spacing w:line="240" w:lineRule="auto"/>
              <w:jc w:val="center"/>
              <w:rPr>
                <w:b/>
                <w:sz w:val="21"/>
              </w:rPr>
            </w:pPr>
            <w:r>
              <w:rPr>
                <w:b/>
                <w:sz w:val="21"/>
              </w:rPr>
              <w:t>工程名称</w:t>
            </w:r>
          </w:p>
        </w:tc>
        <w:tc>
          <w:tcPr>
            <w:tcW w:w="2198" w:type="pct"/>
            <w:tcBorders>
              <w:top w:val="single" w:sz="4" w:space="0" w:color="auto"/>
              <w:left w:val="single" w:sz="4" w:space="0" w:color="auto"/>
              <w:bottom w:val="single" w:sz="4" w:space="0" w:color="auto"/>
              <w:right w:val="single" w:sz="4" w:space="0" w:color="auto"/>
            </w:tcBorders>
            <w:shd w:val="clear" w:color="auto" w:fill="auto"/>
            <w:noWrap/>
            <w:vAlign w:val="center"/>
          </w:tcPr>
          <w:p>
            <w:pPr>
              <w:adjustRightInd w:val="0"/>
              <w:snapToGrid w:val="0"/>
              <w:spacing w:line="240" w:lineRule="auto"/>
              <w:jc w:val="center"/>
              <w:rPr>
                <w:b/>
                <w:sz w:val="21"/>
              </w:rPr>
            </w:pPr>
            <w:r>
              <w:rPr>
                <w:b/>
                <w:sz w:val="21"/>
              </w:rPr>
              <w:t>工程主要内容</w:t>
            </w:r>
          </w:p>
        </w:tc>
        <w:tc>
          <w:tcPr>
            <w:tcW w:w="418" w:type="pct"/>
            <w:tcBorders>
              <w:top w:val="single" w:sz="4" w:space="0" w:color="auto"/>
              <w:left w:val="single" w:sz="4" w:space="0" w:color="auto"/>
              <w:bottom w:val="single" w:sz="4" w:space="0" w:color="auto"/>
              <w:right w:val="single" w:sz="4" w:space="0" w:color="auto"/>
            </w:tcBorders>
            <w:shd w:val="clear" w:color="auto" w:fill="auto"/>
            <w:noWrap/>
            <w:vAlign w:val="center"/>
          </w:tcPr>
          <w:p>
            <w:pPr>
              <w:adjustRightInd w:val="0"/>
              <w:snapToGrid w:val="0"/>
              <w:spacing w:line="240" w:lineRule="auto"/>
              <w:jc w:val="center"/>
              <w:rPr>
                <w:b/>
                <w:sz w:val="21"/>
              </w:rPr>
            </w:pPr>
            <w:r>
              <w:rPr>
                <w:b/>
                <w:sz w:val="21"/>
              </w:rPr>
              <w:t>实施时间</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tcPr>
          <w:p>
            <w:pPr>
              <w:adjustRightInd w:val="0"/>
              <w:snapToGrid w:val="0"/>
              <w:spacing w:line="240" w:lineRule="auto"/>
              <w:jc w:val="center"/>
              <w:rPr>
                <w:b/>
                <w:sz w:val="21"/>
              </w:rPr>
            </w:pPr>
            <w:r>
              <w:rPr>
                <w:b/>
                <w:sz w:val="21"/>
              </w:rPr>
              <w:t>资金预（估）算</w:t>
            </w:r>
          </w:p>
          <w:p>
            <w:pPr>
              <w:adjustRightInd w:val="0"/>
              <w:snapToGrid w:val="0"/>
              <w:spacing w:line="240" w:lineRule="auto"/>
              <w:jc w:val="center"/>
              <w:rPr>
                <w:b/>
                <w:sz w:val="21"/>
              </w:rPr>
            </w:pPr>
            <w:r>
              <w:rPr>
                <w:b/>
                <w:sz w:val="21"/>
              </w:rPr>
              <w:t>（万元）</w:t>
            </w:r>
          </w:p>
        </w:tc>
        <w:tc>
          <w:tcPr>
            <w:tcW w:w="703" w:type="pct"/>
            <w:tcBorders>
              <w:top w:val="single" w:sz="4" w:space="0" w:color="auto"/>
              <w:left w:val="single" w:sz="4" w:space="0" w:color="auto"/>
              <w:bottom w:val="single" w:sz="4" w:space="0" w:color="auto"/>
              <w:right w:val="single" w:sz="4" w:space="0" w:color="auto"/>
            </w:tcBorders>
            <w:shd w:val="clear" w:color="auto" w:fill="auto"/>
            <w:noWrap/>
            <w:vAlign w:val="center"/>
          </w:tcPr>
          <w:p>
            <w:pPr>
              <w:adjustRightInd w:val="0"/>
              <w:snapToGrid w:val="0"/>
              <w:spacing w:line="240" w:lineRule="auto"/>
              <w:jc w:val="center"/>
              <w:rPr>
                <w:b/>
                <w:sz w:val="21"/>
              </w:rPr>
            </w:pPr>
            <w:r>
              <w:rPr>
                <w:b/>
                <w:sz w:val="21"/>
              </w:rPr>
              <w:t>责任单位</w:t>
            </w:r>
          </w:p>
        </w:tc>
      </w:tr>
      <w:tr>
        <w:trPr>
          <w:trHeight w:val="340"/>
        </w:trPr>
        <w:tc>
          <w:tcPr>
            <w:tcW w:w="287"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pPr>
              <w:adjustRightInd w:val="0"/>
              <w:snapToGrid w:val="0"/>
              <w:spacing w:line="240" w:lineRule="auto"/>
              <w:jc w:val="center"/>
              <w:rPr>
                <w:sz w:val="21"/>
              </w:rPr>
            </w:pPr>
            <w:r>
              <w:rPr>
                <w:sz w:val="21"/>
              </w:rPr>
              <w:t>生态制度完善工程</w:t>
            </w:r>
          </w:p>
        </w:tc>
        <w:tc>
          <w:tcPr>
            <w:tcW w:w="173" w:type="pct"/>
            <w:tcBorders>
              <w:top w:val="single" w:sz="4" w:space="0" w:color="auto"/>
              <w:left w:val="single" w:sz="4" w:space="0" w:color="auto"/>
              <w:bottom w:val="single" w:sz="4" w:space="0" w:color="auto"/>
              <w:right w:val="single" w:sz="4" w:space="0" w:color="auto"/>
            </w:tcBorders>
            <w:shd w:val="clear" w:color="auto" w:fill="auto"/>
            <w:noWrap/>
            <w:vAlign w:val="center"/>
          </w:tcPr>
          <w:p>
            <w:pPr>
              <w:numPr>
                <w:ilvl w:val="0"/>
                <w:numId w:val="11"/>
              </w:numPr>
              <w:adjustRightInd w:val="0"/>
              <w:snapToGrid w:val="0"/>
              <w:spacing w:line="240" w:lineRule="auto"/>
              <w:ind w:left="0" w:firstLine="0"/>
              <w:jc w:val="center"/>
              <w:rPr>
                <w:sz w:val="21"/>
              </w:rPr>
            </w:pPr>
          </w:p>
        </w:tc>
        <w:tc>
          <w:tcPr>
            <w:tcW w:w="798" w:type="pct"/>
            <w:tcBorders>
              <w:top w:val="single" w:sz="4" w:space="0" w:color="auto"/>
              <w:left w:val="single" w:sz="4" w:space="0" w:color="auto"/>
              <w:bottom w:val="single" w:sz="4" w:space="0" w:color="auto"/>
              <w:right w:val="single" w:sz="4" w:space="0" w:color="auto"/>
            </w:tcBorders>
            <w:shd w:val="clear" w:color="auto" w:fill="auto"/>
            <w:noWrap/>
            <w:vAlign w:val="center"/>
          </w:tcPr>
          <w:p>
            <w:pPr>
              <w:adjustRightInd w:val="0"/>
              <w:snapToGrid w:val="0"/>
              <w:spacing w:line="240" w:lineRule="auto"/>
              <w:jc w:val="center"/>
              <w:rPr>
                <w:sz w:val="21"/>
              </w:rPr>
            </w:pPr>
            <w:r>
              <w:rPr>
                <w:bCs/>
                <w:sz w:val="21"/>
              </w:rPr>
              <w:t>自然资源资产负债表</w:t>
            </w:r>
          </w:p>
        </w:tc>
        <w:tc>
          <w:tcPr>
            <w:tcW w:w="2198" w:type="pct"/>
            <w:tcBorders>
              <w:top w:val="single" w:sz="4" w:space="0" w:color="auto"/>
              <w:left w:val="single" w:sz="4" w:space="0" w:color="auto"/>
              <w:bottom w:val="single" w:sz="4" w:space="0" w:color="auto"/>
              <w:right w:val="single" w:sz="4" w:space="0" w:color="auto"/>
            </w:tcBorders>
            <w:shd w:val="clear" w:color="auto" w:fill="auto"/>
            <w:noWrap/>
            <w:vAlign w:val="center"/>
          </w:tcPr>
          <w:p>
            <w:pPr>
              <w:adjustRightInd w:val="0"/>
              <w:snapToGrid w:val="0"/>
              <w:spacing w:line="240" w:lineRule="auto"/>
              <w:ind w:firstLine="420"/>
              <w:rPr>
                <w:sz w:val="21"/>
              </w:rPr>
            </w:pPr>
            <w:r>
              <w:rPr>
                <w:bCs/>
                <w:sz w:val="21"/>
              </w:rPr>
              <w:t>对全区土地资源、水资源等进行核算，明确全区自然资源资产状况，建立健全科学规范的自然资源统计调查制度和自然资源资产负债表编制制度，配合南京市编制自然资源资产负债表。</w:t>
            </w:r>
          </w:p>
        </w:tc>
        <w:tc>
          <w:tcPr>
            <w:tcW w:w="418" w:type="pct"/>
            <w:tcBorders>
              <w:top w:val="single" w:sz="4" w:space="0" w:color="auto"/>
              <w:left w:val="single" w:sz="4" w:space="0" w:color="auto"/>
              <w:bottom w:val="single" w:sz="4" w:space="0" w:color="auto"/>
              <w:right w:val="single" w:sz="4" w:space="0" w:color="auto"/>
            </w:tcBorders>
            <w:shd w:val="clear" w:color="auto" w:fill="auto"/>
            <w:noWrap/>
            <w:vAlign w:val="center"/>
          </w:tcPr>
          <w:p>
            <w:pPr>
              <w:adjustRightInd w:val="0"/>
              <w:snapToGrid w:val="0"/>
              <w:spacing w:line="240" w:lineRule="auto"/>
              <w:jc w:val="center"/>
              <w:rPr>
                <w:sz w:val="21"/>
              </w:rPr>
            </w:pPr>
            <w:r>
              <w:rPr>
                <w:bCs/>
                <w:sz w:val="21"/>
              </w:rPr>
              <w:t>2023-2030</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tcPr>
          <w:p>
            <w:pPr>
              <w:adjustRightInd w:val="0"/>
              <w:snapToGrid w:val="0"/>
              <w:spacing w:line="240" w:lineRule="auto"/>
              <w:jc w:val="center"/>
              <w:rPr>
                <w:sz w:val="21"/>
              </w:rPr>
            </w:pPr>
            <w:r>
              <w:rPr>
                <w:bCs/>
                <w:sz w:val="21"/>
              </w:rPr>
              <w:t>150</w:t>
            </w:r>
          </w:p>
        </w:tc>
        <w:tc>
          <w:tcPr>
            <w:tcW w:w="703" w:type="pct"/>
            <w:tcBorders>
              <w:top w:val="single" w:sz="4" w:space="0" w:color="auto"/>
              <w:left w:val="single" w:sz="4" w:space="0" w:color="auto"/>
              <w:bottom w:val="single" w:sz="4" w:space="0" w:color="auto"/>
              <w:right w:val="single" w:sz="4" w:space="0" w:color="auto"/>
            </w:tcBorders>
            <w:shd w:val="clear" w:color="auto" w:fill="auto"/>
            <w:noWrap/>
            <w:vAlign w:val="center"/>
          </w:tcPr>
          <w:p>
            <w:pPr>
              <w:adjustRightInd w:val="0"/>
              <w:snapToGrid w:val="0"/>
              <w:spacing w:line="240" w:lineRule="auto"/>
              <w:jc w:val="center"/>
              <w:rPr>
                <w:sz w:val="21"/>
              </w:rPr>
            </w:pPr>
            <w:r>
              <w:rPr>
                <w:sz w:val="21"/>
              </w:rPr>
              <w:t>规划资源分局</w:t>
            </w:r>
            <w:r>
              <w:rPr>
                <w:bCs/>
                <w:sz w:val="21"/>
              </w:rPr>
              <w:t>、区水务局、雨花台生态环境局</w:t>
            </w:r>
          </w:p>
        </w:tc>
      </w:tr>
      <w:tr>
        <w:trPr>
          <w:trHeight w:val="340"/>
        </w:trPr>
        <w:tc>
          <w:tcPr>
            <w:tcW w:w="287" w:type="pct"/>
            <w:vMerge/>
            <w:tcBorders>
              <w:top w:val="single" w:sz="4" w:space="0" w:color="auto"/>
              <w:left w:val="single" w:sz="4" w:space="0" w:color="auto"/>
              <w:bottom w:val="single" w:sz="4" w:space="0" w:color="auto"/>
              <w:right w:val="single" w:sz="4" w:space="0" w:color="auto"/>
            </w:tcBorders>
            <w:shd w:val="clear" w:color="auto" w:fill="auto"/>
            <w:noWrap/>
            <w:vAlign w:val="center"/>
          </w:tcPr>
          <w:p/>
        </w:tc>
        <w:tc>
          <w:tcPr>
            <w:tcW w:w="173" w:type="pct"/>
            <w:tcBorders>
              <w:top w:val="single" w:sz="4" w:space="0" w:color="auto"/>
              <w:left w:val="single" w:sz="4" w:space="0" w:color="auto"/>
              <w:bottom w:val="single" w:sz="4" w:space="0" w:color="auto"/>
              <w:right w:val="single" w:sz="4" w:space="0" w:color="auto"/>
            </w:tcBorders>
            <w:shd w:val="clear" w:color="auto" w:fill="auto"/>
            <w:noWrap/>
            <w:vAlign w:val="center"/>
          </w:tcPr>
          <w:p>
            <w:pPr>
              <w:numPr>
                <w:ilvl w:val="0"/>
                <w:numId w:val="11"/>
              </w:numPr>
              <w:adjustRightInd w:val="0"/>
              <w:snapToGrid w:val="0"/>
              <w:spacing w:line="240" w:lineRule="auto"/>
              <w:ind w:left="0" w:firstLine="0"/>
              <w:jc w:val="center"/>
              <w:rPr>
                <w:sz w:val="21"/>
              </w:rPr>
            </w:pPr>
          </w:p>
        </w:tc>
        <w:tc>
          <w:tcPr>
            <w:tcW w:w="798" w:type="pct"/>
            <w:tcBorders>
              <w:top w:val="single" w:sz="4" w:space="0" w:color="auto"/>
              <w:left w:val="single" w:sz="4" w:space="0" w:color="auto"/>
              <w:bottom w:val="single" w:sz="4" w:space="0" w:color="auto"/>
              <w:right w:val="single" w:sz="4" w:space="0" w:color="auto"/>
            </w:tcBorders>
            <w:shd w:val="clear" w:color="auto" w:fill="auto"/>
            <w:noWrap/>
            <w:vAlign w:val="center"/>
          </w:tcPr>
          <w:p>
            <w:pPr>
              <w:adjustRightInd w:val="0"/>
              <w:snapToGrid w:val="0"/>
              <w:spacing w:line="240" w:lineRule="auto"/>
              <w:jc w:val="center"/>
              <w:rPr>
                <w:sz w:val="21"/>
              </w:rPr>
            </w:pPr>
            <w:r>
              <w:rPr>
                <w:bCs/>
                <w:sz w:val="21"/>
              </w:rPr>
              <w:t>生态产品价值实现机制试点示范工程</w:t>
            </w:r>
          </w:p>
        </w:tc>
        <w:tc>
          <w:tcPr>
            <w:tcW w:w="2198" w:type="pct"/>
            <w:tcBorders>
              <w:top w:val="single" w:sz="4" w:space="0" w:color="auto"/>
              <w:left w:val="single" w:sz="4" w:space="0" w:color="auto"/>
              <w:bottom w:val="single" w:sz="4" w:space="0" w:color="auto"/>
              <w:right w:val="single" w:sz="4" w:space="0" w:color="auto"/>
            </w:tcBorders>
            <w:shd w:val="clear" w:color="auto" w:fill="auto"/>
            <w:noWrap/>
            <w:vAlign w:val="center"/>
          </w:tcPr>
          <w:p>
            <w:pPr>
              <w:adjustRightInd w:val="0"/>
              <w:snapToGrid w:val="0"/>
              <w:spacing w:line="240" w:lineRule="auto"/>
              <w:ind w:firstLine="420"/>
              <w:rPr>
                <w:sz w:val="21"/>
              </w:rPr>
            </w:pPr>
            <w:r>
              <w:rPr>
                <w:bCs/>
                <w:sz w:val="21"/>
              </w:rPr>
              <w:t>探索生态产品实现模式，促进生态产业化，依托梅山矿坑等工业资源以及秦淮新河沿河风光带等景观资源，推进生态修复治理与创意文旅产业发展相结合，注重临水景观、旅游基础设施建设与城市建设相衔接，使城市化建设与旅游开发得到统一，打造多样化生态文旅产品。</w:t>
            </w:r>
          </w:p>
        </w:tc>
        <w:tc>
          <w:tcPr>
            <w:tcW w:w="418" w:type="pct"/>
            <w:tcBorders>
              <w:top w:val="single" w:sz="4" w:space="0" w:color="auto"/>
              <w:left w:val="single" w:sz="4" w:space="0" w:color="auto"/>
              <w:bottom w:val="single" w:sz="4" w:space="0" w:color="auto"/>
              <w:right w:val="single" w:sz="4" w:space="0" w:color="auto"/>
            </w:tcBorders>
            <w:shd w:val="clear" w:color="auto" w:fill="auto"/>
            <w:noWrap/>
            <w:vAlign w:val="center"/>
          </w:tcPr>
          <w:p>
            <w:pPr>
              <w:adjustRightInd w:val="0"/>
              <w:snapToGrid w:val="0"/>
              <w:spacing w:line="240" w:lineRule="auto"/>
              <w:jc w:val="center"/>
              <w:rPr>
                <w:sz w:val="21"/>
              </w:rPr>
            </w:pPr>
            <w:r>
              <w:rPr>
                <w:bCs/>
                <w:sz w:val="21"/>
              </w:rPr>
              <w:t>2023-2030</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tcPr>
          <w:p>
            <w:pPr>
              <w:adjustRightInd w:val="0"/>
              <w:snapToGrid w:val="0"/>
              <w:spacing w:line="240" w:lineRule="auto"/>
              <w:jc w:val="center"/>
              <w:rPr>
                <w:sz w:val="21"/>
              </w:rPr>
            </w:pPr>
            <w:r>
              <w:rPr>
                <w:bCs/>
                <w:sz w:val="21"/>
              </w:rPr>
              <w:t>150</w:t>
            </w:r>
          </w:p>
        </w:tc>
        <w:tc>
          <w:tcPr>
            <w:tcW w:w="703" w:type="pct"/>
            <w:tcBorders>
              <w:top w:val="single" w:sz="4" w:space="0" w:color="auto"/>
              <w:left w:val="single" w:sz="4" w:space="0" w:color="auto"/>
              <w:bottom w:val="single" w:sz="4" w:space="0" w:color="auto"/>
              <w:right w:val="single" w:sz="4" w:space="0" w:color="auto"/>
            </w:tcBorders>
            <w:shd w:val="clear" w:color="auto" w:fill="auto"/>
            <w:noWrap/>
            <w:vAlign w:val="center"/>
          </w:tcPr>
          <w:p>
            <w:pPr>
              <w:adjustRightInd w:val="0"/>
              <w:snapToGrid w:val="0"/>
              <w:spacing w:line="240" w:lineRule="auto"/>
              <w:jc w:val="center"/>
              <w:rPr>
                <w:sz w:val="21"/>
              </w:rPr>
            </w:pPr>
            <w:r>
              <w:rPr>
                <w:bCs/>
                <w:sz w:val="21"/>
              </w:rPr>
              <w:t>区发改委、</w:t>
            </w:r>
            <w:r>
              <w:rPr>
                <w:sz w:val="21"/>
              </w:rPr>
              <w:t>规划资源分局</w:t>
            </w:r>
            <w:r>
              <w:rPr>
                <w:bCs/>
                <w:sz w:val="21"/>
              </w:rPr>
              <w:t>、雨花台生态环境局、区文化和旅游局</w:t>
            </w:r>
            <w:r>
              <w:rPr>
                <w:sz w:val="21"/>
              </w:rPr>
              <w:t>、西善桥街道</w:t>
            </w:r>
          </w:p>
        </w:tc>
      </w:tr>
      <w:tr>
        <w:trPr>
          <w:trHeight w:val="340"/>
        </w:trPr>
        <w:tc>
          <w:tcPr>
            <w:tcW w:w="287" w:type="pct"/>
            <w:vMerge/>
            <w:tcBorders>
              <w:top w:val="single" w:sz="4" w:space="0" w:color="auto"/>
              <w:left w:val="single" w:sz="4" w:space="0" w:color="auto"/>
              <w:bottom w:val="single" w:sz="4" w:space="0" w:color="auto"/>
              <w:right w:val="single" w:sz="4" w:space="0" w:color="auto"/>
            </w:tcBorders>
            <w:shd w:val="clear" w:color="auto" w:fill="auto"/>
            <w:noWrap/>
            <w:vAlign w:val="center"/>
          </w:tcPr>
          <w:p/>
        </w:tc>
        <w:tc>
          <w:tcPr>
            <w:tcW w:w="173" w:type="pct"/>
            <w:tcBorders>
              <w:top w:val="single" w:sz="4" w:space="0" w:color="auto"/>
              <w:left w:val="single" w:sz="4" w:space="0" w:color="auto"/>
              <w:bottom w:val="single" w:sz="4" w:space="0" w:color="auto"/>
              <w:right w:val="single" w:sz="4" w:space="0" w:color="auto"/>
            </w:tcBorders>
            <w:shd w:val="clear" w:color="auto" w:fill="auto"/>
            <w:noWrap/>
            <w:vAlign w:val="center"/>
          </w:tcPr>
          <w:p>
            <w:pPr>
              <w:numPr>
                <w:ilvl w:val="0"/>
                <w:numId w:val="11"/>
              </w:numPr>
              <w:adjustRightInd w:val="0"/>
              <w:snapToGrid w:val="0"/>
              <w:spacing w:line="240" w:lineRule="auto"/>
              <w:ind w:left="0" w:firstLine="0"/>
              <w:jc w:val="center"/>
              <w:rPr>
                <w:sz w:val="21"/>
              </w:rPr>
            </w:pPr>
          </w:p>
        </w:tc>
        <w:tc>
          <w:tcPr>
            <w:tcW w:w="798" w:type="pct"/>
            <w:tcBorders>
              <w:top w:val="single" w:sz="4" w:space="0" w:color="auto"/>
              <w:left w:val="single" w:sz="4" w:space="0" w:color="auto"/>
              <w:bottom w:val="single" w:sz="4" w:space="0" w:color="auto"/>
              <w:right w:val="single" w:sz="4" w:space="0" w:color="auto"/>
            </w:tcBorders>
            <w:shd w:val="clear" w:color="auto" w:fill="auto"/>
            <w:noWrap/>
            <w:vAlign w:val="center"/>
          </w:tcPr>
          <w:p>
            <w:pPr>
              <w:adjustRightInd w:val="0"/>
              <w:snapToGrid w:val="0"/>
              <w:spacing w:line="240" w:lineRule="auto"/>
              <w:jc w:val="center"/>
              <w:rPr>
                <w:bCs/>
                <w:sz w:val="21"/>
              </w:rPr>
            </w:pPr>
            <w:r>
              <w:rPr>
                <w:bCs/>
                <w:sz w:val="21"/>
              </w:rPr>
              <w:t>区智慧环保指挥中心改造</w:t>
            </w:r>
          </w:p>
        </w:tc>
        <w:tc>
          <w:tcPr>
            <w:tcW w:w="2198" w:type="pct"/>
            <w:tcBorders>
              <w:top w:val="single" w:sz="4" w:space="0" w:color="auto"/>
              <w:left w:val="single" w:sz="4" w:space="0" w:color="auto"/>
              <w:bottom w:val="single" w:sz="4" w:space="0" w:color="auto"/>
              <w:right w:val="single" w:sz="4" w:space="0" w:color="auto"/>
            </w:tcBorders>
            <w:shd w:val="clear" w:color="auto" w:fill="auto"/>
            <w:noWrap/>
            <w:vAlign w:val="center"/>
          </w:tcPr>
          <w:p>
            <w:pPr>
              <w:adjustRightInd w:val="0"/>
              <w:snapToGrid w:val="0"/>
              <w:spacing w:line="240" w:lineRule="auto"/>
              <w:ind w:firstLine="420"/>
              <w:rPr>
                <w:bCs/>
                <w:sz w:val="21"/>
              </w:rPr>
            </w:pPr>
            <w:r>
              <w:rPr>
                <w:bCs/>
                <w:sz w:val="21"/>
              </w:rPr>
              <w:t>环境日常监管及发生突发环境应急事件时进行应急指挥的场所，分为值班区、展示区、操作区、会商区4大功能区域。</w:t>
            </w:r>
          </w:p>
        </w:tc>
        <w:tc>
          <w:tcPr>
            <w:tcW w:w="418" w:type="pct"/>
            <w:tcBorders>
              <w:top w:val="single" w:sz="4" w:space="0" w:color="auto"/>
              <w:left w:val="single" w:sz="4" w:space="0" w:color="auto"/>
              <w:bottom w:val="single" w:sz="4" w:space="0" w:color="auto"/>
              <w:right w:val="single" w:sz="4" w:space="0" w:color="auto"/>
            </w:tcBorders>
            <w:shd w:val="clear" w:color="auto" w:fill="auto"/>
            <w:noWrap/>
            <w:vAlign w:val="center"/>
          </w:tcPr>
          <w:p>
            <w:pPr>
              <w:adjustRightInd w:val="0"/>
              <w:snapToGrid w:val="0"/>
              <w:spacing w:line="240" w:lineRule="auto"/>
              <w:jc w:val="center"/>
              <w:rPr>
                <w:sz w:val="21"/>
              </w:rPr>
            </w:pPr>
            <w:r>
              <w:rPr>
                <w:bCs/>
                <w:sz w:val="21"/>
              </w:rPr>
              <w:t>2023-2025</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tcPr>
          <w:p>
            <w:pPr>
              <w:adjustRightInd w:val="0"/>
              <w:snapToGrid w:val="0"/>
              <w:spacing w:line="240" w:lineRule="auto"/>
              <w:jc w:val="center"/>
              <w:rPr>
                <w:sz w:val="21"/>
              </w:rPr>
            </w:pPr>
            <w:r>
              <w:rPr>
                <w:sz w:val="21"/>
              </w:rPr>
              <w:t>100</w:t>
            </w:r>
          </w:p>
        </w:tc>
        <w:tc>
          <w:tcPr>
            <w:tcW w:w="703" w:type="pct"/>
            <w:tcBorders>
              <w:top w:val="single" w:sz="4" w:space="0" w:color="auto"/>
              <w:left w:val="single" w:sz="4" w:space="0" w:color="auto"/>
              <w:bottom w:val="single" w:sz="4" w:space="0" w:color="auto"/>
              <w:right w:val="single" w:sz="4" w:space="0" w:color="auto"/>
            </w:tcBorders>
            <w:shd w:val="clear" w:color="auto" w:fill="auto"/>
            <w:noWrap/>
            <w:vAlign w:val="center"/>
          </w:tcPr>
          <w:p>
            <w:pPr>
              <w:adjustRightInd w:val="0"/>
              <w:snapToGrid w:val="0"/>
              <w:spacing w:line="240" w:lineRule="auto"/>
              <w:jc w:val="center"/>
              <w:rPr>
                <w:sz w:val="21"/>
              </w:rPr>
            </w:pPr>
            <w:r>
              <w:rPr>
                <w:bCs/>
                <w:sz w:val="21"/>
              </w:rPr>
              <w:t>雨花台生态环境局</w:t>
            </w:r>
          </w:p>
        </w:tc>
      </w:tr>
      <w:tr>
        <w:trPr>
          <w:trHeight w:val="340"/>
        </w:trPr>
        <w:tc>
          <w:tcPr>
            <w:tcW w:w="287" w:type="pct"/>
            <w:vMerge/>
            <w:tcBorders>
              <w:top w:val="single" w:sz="4" w:space="0" w:color="auto"/>
              <w:left w:val="single" w:sz="4" w:space="0" w:color="auto"/>
              <w:bottom w:val="single" w:sz="4" w:space="0" w:color="auto"/>
              <w:right w:val="single" w:sz="4" w:space="0" w:color="auto"/>
            </w:tcBorders>
            <w:shd w:val="clear" w:color="auto" w:fill="auto"/>
            <w:noWrap/>
            <w:vAlign w:val="center"/>
          </w:tcPr>
          <w:p/>
        </w:tc>
        <w:tc>
          <w:tcPr>
            <w:tcW w:w="173" w:type="pct"/>
            <w:tcBorders>
              <w:top w:val="single" w:sz="4" w:space="0" w:color="auto"/>
              <w:left w:val="single" w:sz="4" w:space="0" w:color="auto"/>
              <w:bottom w:val="single" w:sz="4" w:space="0" w:color="auto"/>
              <w:right w:val="single" w:sz="4" w:space="0" w:color="auto"/>
            </w:tcBorders>
            <w:shd w:val="clear" w:color="auto" w:fill="auto"/>
            <w:noWrap/>
            <w:vAlign w:val="center"/>
          </w:tcPr>
          <w:p>
            <w:pPr>
              <w:numPr>
                <w:ilvl w:val="0"/>
                <w:numId w:val="11"/>
              </w:numPr>
              <w:adjustRightInd w:val="0"/>
              <w:snapToGrid w:val="0"/>
              <w:spacing w:line="240" w:lineRule="auto"/>
              <w:ind w:left="0" w:firstLine="0"/>
              <w:jc w:val="center"/>
              <w:rPr>
                <w:sz w:val="21"/>
              </w:rPr>
            </w:pPr>
          </w:p>
        </w:tc>
        <w:tc>
          <w:tcPr>
            <w:tcW w:w="798" w:type="pct"/>
            <w:tcBorders>
              <w:top w:val="single" w:sz="4" w:space="0" w:color="auto"/>
              <w:left w:val="single" w:sz="4" w:space="0" w:color="auto"/>
              <w:bottom w:val="single" w:sz="4" w:space="0" w:color="auto"/>
              <w:right w:val="single" w:sz="4" w:space="0" w:color="auto"/>
            </w:tcBorders>
            <w:shd w:val="clear" w:color="auto" w:fill="auto"/>
            <w:noWrap/>
            <w:vAlign w:val="center"/>
          </w:tcPr>
          <w:p>
            <w:pPr>
              <w:adjustRightInd w:val="0"/>
              <w:snapToGrid w:val="0"/>
              <w:spacing w:line="240" w:lineRule="auto"/>
              <w:jc w:val="center"/>
              <w:rPr>
                <w:bCs/>
                <w:sz w:val="21"/>
              </w:rPr>
            </w:pPr>
            <w:r>
              <w:rPr>
                <w:bCs/>
                <w:sz w:val="21"/>
              </w:rPr>
              <w:t>提升监测、监管能力</w:t>
            </w:r>
          </w:p>
        </w:tc>
        <w:tc>
          <w:tcPr>
            <w:tcW w:w="2198" w:type="pct"/>
            <w:tcBorders>
              <w:top w:val="single" w:sz="4" w:space="0" w:color="auto"/>
              <w:left w:val="single" w:sz="4" w:space="0" w:color="auto"/>
              <w:bottom w:val="single" w:sz="4" w:space="0" w:color="auto"/>
              <w:right w:val="single" w:sz="4" w:space="0" w:color="auto"/>
            </w:tcBorders>
            <w:shd w:val="clear" w:color="auto" w:fill="auto"/>
            <w:noWrap/>
            <w:vAlign w:val="center"/>
          </w:tcPr>
          <w:p>
            <w:pPr>
              <w:adjustRightInd w:val="0"/>
              <w:snapToGrid w:val="0"/>
              <w:spacing w:line="240" w:lineRule="auto"/>
              <w:ind w:firstLine="420"/>
              <w:rPr>
                <w:bCs/>
                <w:sz w:val="21"/>
              </w:rPr>
            </w:pPr>
            <w:r>
              <w:rPr>
                <w:bCs/>
                <w:sz w:val="21"/>
              </w:rPr>
              <w:t>完善区、街、社区环境保护三级网格化建设，深化大数据、云计算、物联网等新一代信息化技术在环境监测、执法监管等领域的应用。</w:t>
            </w:r>
          </w:p>
        </w:tc>
        <w:tc>
          <w:tcPr>
            <w:tcW w:w="418" w:type="pct"/>
            <w:tcBorders>
              <w:top w:val="single" w:sz="4" w:space="0" w:color="auto"/>
              <w:left w:val="single" w:sz="4" w:space="0" w:color="auto"/>
              <w:bottom w:val="single" w:sz="4" w:space="0" w:color="auto"/>
              <w:right w:val="single" w:sz="4" w:space="0" w:color="auto"/>
            </w:tcBorders>
            <w:shd w:val="clear" w:color="auto" w:fill="auto"/>
            <w:noWrap/>
            <w:vAlign w:val="center"/>
          </w:tcPr>
          <w:p>
            <w:pPr>
              <w:adjustRightInd w:val="0"/>
              <w:snapToGrid w:val="0"/>
              <w:spacing w:line="240" w:lineRule="auto"/>
              <w:jc w:val="center"/>
              <w:rPr>
                <w:bCs/>
                <w:sz w:val="21"/>
              </w:rPr>
            </w:pPr>
            <w:r>
              <w:rPr>
                <w:bCs/>
                <w:sz w:val="21"/>
              </w:rPr>
              <w:t>2023-2025</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tcPr>
          <w:p>
            <w:pPr>
              <w:adjustRightInd w:val="0"/>
              <w:snapToGrid w:val="0"/>
              <w:spacing w:line="240" w:lineRule="auto"/>
              <w:jc w:val="center"/>
              <w:rPr>
                <w:bCs/>
                <w:sz w:val="21"/>
              </w:rPr>
            </w:pPr>
            <w:r>
              <w:rPr>
                <w:bCs/>
                <w:sz w:val="21"/>
              </w:rPr>
              <w:t>100</w:t>
            </w:r>
          </w:p>
        </w:tc>
        <w:tc>
          <w:tcPr>
            <w:tcW w:w="703" w:type="pct"/>
            <w:tcBorders>
              <w:top w:val="single" w:sz="4" w:space="0" w:color="auto"/>
              <w:left w:val="single" w:sz="4" w:space="0" w:color="auto"/>
              <w:bottom w:val="single" w:sz="4" w:space="0" w:color="auto"/>
              <w:right w:val="single" w:sz="4" w:space="0" w:color="auto"/>
            </w:tcBorders>
            <w:shd w:val="clear" w:color="auto" w:fill="auto"/>
            <w:noWrap/>
            <w:vAlign w:val="center"/>
          </w:tcPr>
          <w:p>
            <w:pPr>
              <w:adjustRightInd w:val="0"/>
              <w:snapToGrid w:val="0"/>
              <w:spacing w:line="240" w:lineRule="auto"/>
              <w:jc w:val="center"/>
              <w:rPr>
                <w:bCs/>
                <w:sz w:val="21"/>
              </w:rPr>
            </w:pPr>
            <w:r>
              <w:rPr>
                <w:bCs/>
                <w:sz w:val="21"/>
              </w:rPr>
              <w:t>雨花台生态环境局</w:t>
            </w:r>
          </w:p>
        </w:tc>
      </w:tr>
      <w:tr>
        <w:trPr>
          <w:trHeight w:val="340"/>
        </w:trPr>
        <w:tc>
          <w:tcPr>
            <w:tcW w:w="287"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pPr>
              <w:adjustRightInd w:val="0"/>
              <w:snapToGrid w:val="0"/>
              <w:spacing w:line="240" w:lineRule="auto"/>
              <w:jc w:val="center"/>
              <w:rPr>
                <w:sz w:val="21"/>
              </w:rPr>
            </w:pPr>
            <w:r>
              <w:rPr>
                <w:sz w:val="21"/>
              </w:rPr>
              <w:t>生态安全保障工程</w:t>
            </w:r>
          </w:p>
        </w:tc>
        <w:tc>
          <w:tcPr>
            <w:tcW w:w="173" w:type="pct"/>
            <w:tcBorders>
              <w:top w:val="single" w:sz="4" w:space="0" w:color="auto"/>
              <w:left w:val="single" w:sz="4" w:space="0" w:color="auto"/>
              <w:bottom w:val="single" w:sz="4" w:space="0" w:color="auto"/>
              <w:right w:val="single" w:sz="4" w:space="0" w:color="auto"/>
            </w:tcBorders>
            <w:shd w:val="clear" w:color="auto" w:fill="auto"/>
            <w:noWrap/>
            <w:vAlign w:val="center"/>
          </w:tcPr>
          <w:p>
            <w:pPr>
              <w:numPr>
                <w:ilvl w:val="0"/>
                <w:numId w:val="11"/>
              </w:numPr>
              <w:adjustRightInd w:val="0"/>
              <w:snapToGrid w:val="0"/>
              <w:spacing w:line="240" w:lineRule="auto"/>
              <w:ind w:left="0" w:firstLine="0"/>
              <w:jc w:val="center"/>
              <w:rPr>
                <w:sz w:val="21"/>
              </w:rPr>
            </w:pPr>
          </w:p>
        </w:tc>
        <w:tc>
          <w:tcPr>
            <w:tcW w:w="798" w:type="pct"/>
            <w:tcBorders>
              <w:top w:val="single" w:sz="4" w:space="0" w:color="auto"/>
              <w:left w:val="single" w:sz="4" w:space="0" w:color="auto"/>
              <w:bottom w:val="single" w:sz="4" w:space="0" w:color="auto"/>
              <w:right w:val="single" w:sz="4" w:space="0" w:color="auto"/>
            </w:tcBorders>
            <w:shd w:val="clear" w:color="auto" w:fill="auto"/>
            <w:noWrap/>
            <w:vAlign w:val="center"/>
          </w:tcPr>
          <w:p>
            <w:pPr>
              <w:adjustRightInd w:val="0"/>
              <w:snapToGrid w:val="0"/>
              <w:spacing w:line="240" w:lineRule="auto"/>
              <w:jc w:val="center"/>
              <w:rPr>
                <w:sz w:val="21"/>
              </w:rPr>
            </w:pPr>
            <w:r>
              <w:rPr>
                <w:sz w:val="21"/>
              </w:rPr>
              <w:t>科技减碳示范工程</w:t>
            </w:r>
          </w:p>
        </w:tc>
        <w:tc>
          <w:tcPr>
            <w:tcW w:w="2198" w:type="pct"/>
            <w:tcBorders>
              <w:top w:val="single" w:sz="4" w:space="0" w:color="auto"/>
              <w:left w:val="single" w:sz="4" w:space="0" w:color="auto"/>
              <w:bottom w:val="single" w:sz="4" w:space="0" w:color="auto"/>
              <w:right w:val="single" w:sz="4" w:space="0" w:color="auto"/>
            </w:tcBorders>
            <w:shd w:val="clear" w:color="auto" w:fill="auto"/>
            <w:noWrap/>
            <w:vAlign w:val="center"/>
          </w:tcPr>
          <w:p>
            <w:pPr>
              <w:adjustRightInd w:val="0"/>
              <w:snapToGrid w:val="0"/>
              <w:spacing w:line="240" w:lineRule="auto"/>
              <w:ind w:firstLine="420"/>
              <w:rPr>
                <w:sz w:val="21"/>
              </w:rPr>
            </w:pPr>
            <w:r>
              <w:rPr>
                <w:sz w:val="21"/>
              </w:rPr>
              <w:t>探索开展富氢冶炼、二氧化碳资源化利用以及绿色低碳钢铁新材料等低碳前沿技术创新示范，支持梅钢高炉热风炉烟气二氧化碳捕集资源化利用项目实施。</w:t>
            </w:r>
          </w:p>
        </w:tc>
        <w:tc>
          <w:tcPr>
            <w:tcW w:w="418" w:type="pct"/>
            <w:tcBorders>
              <w:top w:val="single" w:sz="4" w:space="0" w:color="auto"/>
              <w:left w:val="single" w:sz="4" w:space="0" w:color="auto"/>
              <w:bottom w:val="single" w:sz="4" w:space="0" w:color="auto"/>
              <w:right w:val="single" w:sz="4" w:space="0" w:color="auto"/>
            </w:tcBorders>
            <w:shd w:val="clear" w:color="auto" w:fill="auto"/>
            <w:noWrap/>
            <w:vAlign w:val="center"/>
          </w:tcPr>
          <w:p>
            <w:pPr>
              <w:adjustRightInd w:val="0"/>
              <w:snapToGrid w:val="0"/>
              <w:spacing w:line="240" w:lineRule="auto"/>
              <w:jc w:val="center"/>
              <w:rPr>
                <w:sz w:val="21"/>
              </w:rPr>
            </w:pPr>
            <w:r>
              <w:rPr>
                <w:sz w:val="21"/>
              </w:rPr>
              <w:t>2023-2025</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tcPr>
          <w:p>
            <w:pPr>
              <w:adjustRightInd w:val="0"/>
              <w:snapToGrid w:val="0"/>
              <w:spacing w:line="240" w:lineRule="auto"/>
              <w:jc w:val="center"/>
              <w:rPr>
                <w:sz w:val="21"/>
              </w:rPr>
            </w:pPr>
            <w:r>
              <w:rPr>
                <w:sz w:val="21"/>
              </w:rPr>
              <w:t>500</w:t>
            </w:r>
          </w:p>
        </w:tc>
        <w:tc>
          <w:tcPr>
            <w:tcW w:w="703" w:type="pct"/>
            <w:tcBorders>
              <w:top w:val="single" w:sz="4" w:space="0" w:color="auto"/>
              <w:left w:val="single" w:sz="4" w:space="0" w:color="auto"/>
              <w:bottom w:val="single" w:sz="4" w:space="0" w:color="auto"/>
              <w:right w:val="single" w:sz="4" w:space="0" w:color="auto"/>
            </w:tcBorders>
            <w:shd w:val="clear" w:color="auto" w:fill="auto"/>
            <w:noWrap/>
            <w:vAlign w:val="center"/>
          </w:tcPr>
          <w:p>
            <w:pPr>
              <w:adjustRightInd w:val="0"/>
              <w:snapToGrid w:val="0"/>
              <w:spacing w:line="240" w:lineRule="auto"/>
              <w:jc w:val="center"/>
              <w:rPr>
                <w:sz w:val="21"/>
              </w:rPr>
            </w:pPr>
            <w:r>
              <w:rPr>
                <w:sz w:val="21"/>
              </w:rPr>
              <w:t>上海梅山钢铁股份有限公司</w:t>
            </w:r>
          </w:p>
        </w:tc>
      </w:tr>
      <w:tr>
        <w:trPr>
          <w:trHeight w:val="340"/>
        </w:trPr>
        <w:tc>
          <w:tcPr>
            <w:tcW w:w="287" w:type="pct"/>
            <w:vMerge/>
            <w:tcBorders>
              <w:top w:val="single" w:sz="4" w:space="0" w:color="auto"/>
              <w:left w:val="single" w:sz="4" w:space="0" w:color="auto"/>
              <w:bottom w:val="single" w:sz="4" w:space="0" w:color="auto"/>
              <w:right w:val="single" w:sz="4" w:space="0" w:color="auto"/>
            </w:tcBorders>
            <w:shd w:val="clear" w:color="auto" w:fill="auto"/>
            <w:noWrap/>
            <w:vAlign w:val="center"/>
          </w:tcPr>
          <w:p/>
        </w:tc>
        <w:tc>
          <w:tcPr>
            <w:tcW w:w="173" w:type="pct"/>
            <w:tcBorders>
              <w:top w:val="single" w:sz="4" w:space="0" w:color="auto"/>
              <w:left w:val="single" w:sz="4" w:space="0" w:color="auto"/>
              <w:bottom w:val="single" w:sz="4" w:space="0" w:color="auto"/>
              <w:right w:val="single" w:sz="4" w:space="0" w:color="auto"/>
            </w:tcBorders>
            <w:shd w:val="clear" w:color="auto" w:fill="auto"/>
            <w:noWrap/>
            <w:vAlign w:val="center"/>
          </w:tcPr>
          <w:p>
            <w:pPr>
              <w:numPr>
                <w:ilvl w:val="0"/>
                <w:numId w:val="11"/>
              </w:numPr>
              <w:adjustRightInd w:val="0"/>
              <w:snapToGrid w:val="0"/>
              <w:spacing w:line="240" w:lineRule="auto"/>
              <w:ind w:left="0" w:firstLine="0"/>
              <w:jc w:val="center"/>
              <w:rPr>
                <w:sz w:val="21"/>
              </w:rPr>
            </w:pPr>
          </w:p>
        </w:tc>
        <w:tc>
          <w:tcPr>
            <w:tcW w:w="798" w:type="pct"/>
            <w:tcBorders>
              <w:top w:val="single" w:sz="4" w:space="0" w:color="auto"/>
              <w:left w:val="single" w:sz="4" w:space="0" w:color="auto"/>
              <w:bottom w:val="single" w:sz="4" w:space="0" w:color="auto"/>
              <w:right w:val="single" w:sz="4" w:space="0" w:color="auto"/>
            </w:tcBorders>
            <w:shd w:val="clear" w:color="auto" w:fill="auto"/>
            <w:noWrap/>
            <w:vAlign w:val="center"/>
          </w:tcPr>
          <w:p>
            <w:pPr>
              <w:adjustRightInd w:val="0"/>
              <w:snapToGrid w:val="0"/>
              <w:spacing w:line="240" w:lineRule="auto"/>
              <w:jc w:val="center"/>
              <w:rPr>
                <w:sz w:val="21"/>
              </w:rPr>
            </w:pPr>
            <w:r>
              <w:rPr>
                <w:sz w:val="21"/>
              </w:rPr>
              <w:t>低碳试点示范工程</w:t>
            </w:r>
          </w:p>
        </w:tc>
        <w:tc>
          <w:tcPr>
            <w:tcW w:w="2198" w:type="pct"/>
            <w:tcBorders>
              <w:top w:val="single" w:sz="4" w:space="0" w:color="auto"/>
              <w:left w:val="single" w:sz="4" w:space="0" w:color="auto"/>
              <w:bottom w:val="single" w:sz="4" w:space="0" w:color="auto"/>
              <w:right w:val="single" w:sz="4" w:space="0" w:color="auto"/>
            </w:tcBorders>
            <w:shd w:val="clear" w:color="auto" w:fill="auto"/>
            <w:noWrap/>
            <w:vAlign w:val="center"/>
          </w:tcPr>
          <w:p>
            <w:pPr>
              <w:adjustRightInd w:val="0"/>
              <w:snapToGrid w:val="0"/>
              <w:spacing w:line="240" w:lineRule="auto"/>
              <w:ind w:firstLine="420"/>
              <w:rPr>
                <w:sz w:val="21"/>
              </w:rPr>
            </w:pPr>
            <w:r>
              <w:rPr>
                <w:sz w:val="21"/>
              </w:rPr>
              <w:t>探索建设一批“零碳小区”“零碳建筑”等试点。实施雨花经济开发区绿色低碳改造工程和重点企业节能减碳工程，培育一批碳达峰碳中和先行示范企业。</w:t>
            </w:r>
          </w:p>
        </w:tc>
        <w:tc>
          <w:tcPr>
            <w:tcW w:w="418" w:type="pct"/>
            <w:tcBorders>
              <w:top w:val="single" w:sz="4" w:space="0" w:color="auto"/>
              <w:left w:val="single" w:sz="4" w:space="0" w:color="auto"/>
              <w:bottom w:val="single" w:sz="4" w:space="0" w:color="auto"/>
              <w:right w:val="single" w:sz="4" w:space="0" w:color="auto"/>
            </w:tcBorders>
            <w:shd w:val="clear" w:color="auto" w:fill="auto"/>
            <w:noWrap/>
            <w:vAlign w:val="center"/>
          </w:tcPr>
          <w:p>
            <w:pPr>
              <w:adjustRightInd w:val="0"/>
              <w:snapToGrid w:val="0"/>
              <w:spacing w:line="240" w:lineRule="auto"/>
              <w:jc w:val="center"/>
              <w:rPr>
                <w:sz w:val="21"/>
              </w:rPr>
            </w:pPr>
            <w:r>
              <w:rPr>
                <w:sz w:val="21"/>
              </w:rPr>
              <w:t>2023-2025</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tcPr>
          <w:p>
            <w:pPr>
              <w:adjustRightInd w:val="0"/>
              <w:snapToGrid w:val="0"/>
              <w:spacing w:line="240" w:lineRule="auto"/>
              <w:jc w:val="center"/>
              <w:rPr>
                <w:sz w:val="21"/>
              </w:rPr>
            </w:pPr>
            <w:r>
              <w:rPr>
                <w:sz w:val="21"/>
              </w:rPr>
              <w:t>1000</w:t>
            </w:r>
          </w:p>
        </w:tc>
        <w:tc>
          <w:tcPr>
            <w:tcW w:w="703" w:type="pct"/>
            <w:tcBorders>
              <w:top w:val="single" w:sz="4" w:space="0" w:color="auto"/>
              <w:left w:val="single" w:sz="4" w:space="0" w:color="auto"/>
              <w:bottom w:val="single" w:sz="4" w:space="0" w:color="auto"/>
              <w:right w:val="single" w:sz="4" w:space="0" w:color="auto"/>
            </w:tcBorders>
            <w:shd w:val="clear" w:color="auto" w:fill="auto"/>
            <w:noWrap/>
            <w:vAlign w:val="center"/>
          </w:tcPr>
          <w:p>
            <w:pPr>
              <w:adjustRightInd w:val="0"/>
              <w:snapToGrid w:val="0"/>
              <w:spacing w:line="240" w:lineRule="auto"/>
              <w:jc w:val="center"/>
              <w:rPr>
                <w:sz w:val="21"/>
              </w:rPr>
            </w:pPr>
            <w:r>
              <w:rPr>
                <w:sz w:val="21"/>
              </w:rPr>
              <w:t>区发改委、雨花台生态环境局、各相关街道、雨花经济开发区</w:t>
            </w:r>
          </w:p>
        </w:tc>
      </w:tr>
      <w:tr>
        <w:trPr>
          <w:trHeight w:val="340"/>
        </w:trPr>
        <w:tc>
          <w:tcPr>
            <w:tcW w:w="287" w:type="pct"/>
            <w:vMerge/>
            <w:tcBorders>
              <w:top w:val="single" w:sz="4" w:space="0" w:color="auto"/>
              <w:left w:val="single" w:sz="4" w:space="0" w:color="auto"/>
              <w:bottom w:val="single" w:sz="4" w:space="0" w:color="auto"/>
              <w:right w:val="single" w:sz="4" w:space="0" w:color="auto"/>
            </w:tcBorders>
            <w:shd w:val="clear" w:color="auto" w:fill="auto"/>
            <w:noWrap/>
            <w:vAlign w:val="center"/>
          </w:tcPr>
          <w:p/>
        </w:tc>
        <w:tc>
          <w:tcPr>
            <w:tcW w:w="173" w:type="pct"/>
            <w:tcBorders>
              <w:top w:val="single" w:sz="4" w:space="0" w:color="auto"/>
              <w:left w:val="single" w:sz="4" w:space="0" w:color="auto"/>
              <w:bottom w:val="single" w:sz="4" w:space="0" w:color="auto"/>
              <w:right w:val="single" w:sz="4" w:space="0" w:color="auto"/>
            </w:tcBorders>
            <w:shd w:val="clear" w:color="auto" w:fill="auto"/>
            <w:noWrap/>
            <w:vAlign w:val="center"/>
          </w:tcPr>
          <w:p>
            <w:pPr>
              <w:numPr>
                <w:ilvl w:val="0"/>
                <w:numId w:val="11"/>
              </w:numPr>
              <w:adjustRightInd w:val="0"/>
              <w:snapToGrid w:val="0"/>
              <w:spacing w:line="240" w:lineRule="auto"/>
              <w:ind w:left="0" w:firstLine="0"/>
              <w:jc w:val="center"/>
              <w:rPr>
                <w:sz w:val="21"/>
              </w:rPr>
            </w:pPr>
          </w:p>
        </w:tc>
        <w:tc>
          <w:tcPr>
            <w:tcW w:w="798" w:type="pct"/>
            <w:tcBorders>
              <w:top w:val="single" w:sz="4" w:space="0" w:color="auto"/>
              <w:left w:val="single" w:sz="4" w:space="0" w:color="auto"/>
              <w:bottom w:val="single" w:sz="4" w:space="0" w:color="auto"/>
              <w:right w:val="single" w:sz="4" w:space="0" w:color="auto"/>
            </w:tcBorders>
            <w:shd w:val="clear" w:color="auto" w:fill="auto"/>
            <w:noWrap/>
            <w:vAlign w:val="center"/>
          </w:tcPr>
          <w:p>
            <w:pPr>
              <w:adjustRightInd w:val="0"/>
              <w:snapToGrid w:val="0"/>
              <w:spacing w:line="240" w:lineRule="auto"/>
              <w:jc w:val="center"/>
              <w:rPr>
                <w:sz w:val="21"/>
              </w:rPr>
            </w:pPr>
            <w:r>
              <w:rPr>
                <w:bCs/>
                <w:sz w:val="21"/>
              </w:rPr>
              <w:t>全民碳普惠示范工程</w:t>
            </w:r>
          </w:p>
        </w:tc>
        <w:tc>
          <w:tcPr>
            <w:tcW w:w="2198" w:type="pct"/>
            <w:tcBorders>
              <w:top w:val="single" w:sz="4" w:space="0" w:color="auto"/>
              <w:left w:val="single" w:sz="4" w:space="0" w:color="auto"/>
              <w:bottom w:val="single" w:sz="4" w:space="0" w:color="auto"/>
              <w:right w:val="single" w:sz="4" w:space="0" w:color="auto"/>
            </w:tcBorders>
            <w:shd w:val="clear" w:color="auto" w:fill="auto"/>
            <w:noWrap/>
            <w:vAlign w:val="center"/>
          </w:tcPr>
          <w:p>
            <w:pPr>
              <w:adjustRightInd w:val="0"/>
              <w:snapToGrid w:val="0"/>
              <w:spacing w:line="240" w:lineRule="auto"/>
              <w:ind w:firstLine="420"/>
              <w:rPr>
                <w:bCs/>
                <w:sz w:val="21"/>
              </w:rPr>
            </w:pPr>
            <w:r>
              <w:rPr>
                <w:bCs/>
                <w:sz w:val="21"/>
              </w:rPr>
              <w:t>鼓励商贸企业、社会资本积极了解并参与市碳普惠体系建设，丰富普惠场景；以增强社会公众绿色低碳意识为主要目标，引导居民积极使用“我的南京”碳普惠功能。</w:t>
            </w:r>
          </w:p>
        </w:tc>
        <w:tc>
          <w:tcPr>
            <w:tcW w:w="418" w:type="pct"/>
            <w:tcBorders>
              <w:top w:val="single" w:sz="4" w:space="0" w:color="auto"/>
              <w:left w:val="single" w:sz="4" w:space="0" w:color="auto"/>
              <w:bottom w:val="single" w:sz="4" w:space="0" w:color="auto"/>
              <w:right w:val="single" w:sz="4" w:space="0" w:color="auto"/>
            </w:tcBorders>
            <w:shd w:val="clear" w:color="auto" w:fill="auto"/>
            <w:noWrap/>
            <w:vAlign w:val="center"/>
          </w:tcPr>
          <w:p>
            <w:pPr>
              <w:adjustRightInd w:val="0"/>
              <w:snapToGrid w:val="0"/>
              <w:spacing w:line="240" w:lineRule="auto"/>
              <w:jc w:val="center"/>
              <w:rPr>
                <w:sz w:val="21"/>
              </w:rPr>
            </w:pPr>
            <w:r>
              <w:rPr>
                <w:sz w:val="21"/>
              </w:rPr>
              <w:t>2023-2025</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tcPr>
          <w:p>
            <w:pPr>
              <w:adjustRightInd w:val="0"/>
              <w:snapToGrid w:val="0"/>
              <w:spacing w:line="240" w:lineRule="auto"/>
              <w:jc w:val="center"/>
              <w:rPr>
                <w:sz w:val="21"/>
              </w:rPr>
            </w:pPr>
            <w:r>
              <w:rPr>
                <w:sz w:val="21"/>
              </w:rPr>
              <w:t>100</w:t>
            </w:r>
          </w:p>
        </w:tc>
        <w:tc>
          <w:tcPr>
            <w:tcW w:w="703" w:type="pct"/>
            <w:tcBorders>
              <w:top w:val="single" w:sz="4" w:space="0" w:color="auto"/>
              <w:left w:val="single" w:sz="4" w:space="0" w:color="auto"/>
              <w:bottom w:val="single" w:sz="4" w:space="0" w:color="auto"/>
              <w:right w:val="single" w:sz="4" w:space="0" w:color="auto"/>
            </w:tcBorders>
            <w:shd w:val="clear" w:color="auto" w:fill="auto"/>
            <w:noWrap/>
            <w:vAlign w:val="center"/>
          </w:tcPr>
          <w:p>
            <w:pPr>
              <w:adjustRightInd w:val="0"/>
              <w:snapToGrid w:val="0"/>
              <w:spacing w:line="240" w:lineRule="auto"/>
              <w:jc w:val="center"/>
              <w:rPr>
                <w:sz w:val="21"/>
              </w:rPr>
            </w:pPr>
            <w:r>
              <w:rPr>
                <w:bCs/>
                <w:sz w:val="21"/>
              </w:rPr>
              <w:t>雨花台生态环境局、商务局</w:t>
            </w:r>
          </w:p>
        </w:tc>
      </w:tr>
      <w:tr>
        <w:trPr>
          <w:trHeight w:val="340"/>
        </w:trPr>
        <w:tc>
          <w:tcPr>
            <w:tcW w:w="287" w:type="pct"/>
            <w:vMerge/>
            <w:tcBorders>
              <w:top w:val="single" w:sz="4" w:space="0" w:color="auto"/>
              <w:left w:val="single" w:sz="4" w:space="0" w:color="auto"/>
              <w:bottom w:val="single" w:sz="4" w:space="0" w:color="auto"/>
              <w:right w:val="single" w:sz="4" w:space="0" w:color="auto"/>
            </w:tcBorders>
            <w:shd w:val="clear" w:color="auto" w:fill="auto"/>
            <w:noWrap/>
            <w:vAlign w:val="center"/>
          </w:tcPr>
          <w:p/>
        </w:tc>
        <w:tc>
          <w:tcPr>
            <w:tcW w:w="173" w:type="pct"/>
            <w:tcBorders>
              <w:top w:val="single" w:sz="4" w:space="0" w:color="auto"/>
              <w:left w:val="single" w:sz="4" w:space="0" w:color="auto"/>
              <w:bottom w:val="single" w:sz="4" w:space="0" w:color="auto"/>
              <w:right w:val="single" w:sz="4" w:space="0" w:color="auto"/>
            </w:tcBorders>
            <w:shd w:val="clear" w:color="auto" w:fill="auto"/>
            <w:noWrap/>
            <w:vAlign w:val="center"/>
          </w:tcPr>
          <w:p>
            <w:pPr>
              <w:numPr>
                <w:ilvl w:val="0"/>
                <w:numId w:val="11"/>
              </w:numPr>
              <w:adjustRightInd w:val="0"/>
              <w:snapToGrid w:val="0"/>
              <w:spacing w:line="240" w:lineRule="auto"/>
              <w:ind w:left="0" w:firstLine="0"/>
              <w:jc w:val="center"/>
              <w:rPr>
                <w:sz w:val="21"/>
              </w:rPr>
            </w:pPr>
          </w:p>
        </w:tc>
        <w:tc>
          <w:tcPr>
            <w:tcW w:w="798" w:type="pct"/>
            <w:tcBorders>
              <w:top w:val="single" w:sz="4" w:space="0" w:color="auto"/>
              <w:left w:val="single" w:sz="4" w:space="0" w:color="auto"/>
              <w:bottom w:val="single" w:sz="4" w:space="0" w:color="auto"/>
              <w:right w:val="single" w:sz="4" w:space="0" w:color="auto"/>
            </w:tcBorders>
            <w:shd w:val="clear" w:color="auto" w:fill="auto"/>
            <w:noWrap/>
            <w:vAlign w:val="center"/>
          </w:tcPr>
          <w:p>
            <w:pPr>
              <w:adjustRightInd w:val="0"/>
              <w:snapToGrid w:val="0"/>
              <w:spacing w:line="240" w:lineRule="auto"/>
              <w:jc w:val="center"/>
              <w:rPr>
                <w:bCs/>
                <w:sz w:val="21"/>
              </w:rPr>
            </w:pPr>
            <w:r>
              <w:rPr>
                <w:sz w:val="21"/>
              </w:rPr>
              <w:t>推进超低排放改造工程</w:t>
            </w:r>
          </w:p>
        </w:tc>
        <w:tc>
          <w:tcPr>
            <w:tcW w:w="2198" w:type="pct"/>
            <w:tcBorders>
              <w:top w:val="single" w:sz="4" w:space="0" w:color="auto"/>
              <w:left w:val="single" w:sz="4" w:space="0" w:color="auto"/>
              <w:bottom w:val="single" w:sz="4" w:space="0" w:color="auto"/>
              <w:right w:val="single" w:sz="4" w:space="0" w:color="auto"/>
            </w:tcBorders>
            <w:shd w:val="clear" w:color="auto" w:fill="auto"/>
            <w:noWrap/>
            <w:vAlign w:val="center"/>
          </w:tcPr>
          <w:p>
            <w:pPr>
              <w:adjustRightInd w:val="0"/>
              <w:snapToGrid w:val="0"/>
              <w:spacing w:line="240" w:lineRule="auto"/>
              <w:ind w:firstLine="420"/>
              <w:rPr>
                <w:bCs/>
                <w:sz w:val="21"/>
              </w:rPr>
            </w:pPr>
            <w:r>
              <w:rPr>
                <w:sz w:val="21"/>
              </w:rPr>
              <w:t>加强电力等重点行业企业管控，在确保污染物达标排放基础上，污染物排放浓度稳定低于超低排放要求。南京华润热电有限公司完成全负荷脱硝改造。</w:t>
            </w:r>
          </w:p>
        </w:tc>
        <w:tc>
          <w:tcPr>
            <w:tcW w:w="418" w:type="pct"/>
            <w:tcBorders>
              <w:top w:val="single" w:sz="4" w:space="0" w:color="auto"/>
              <w:left w:val="single" w:sz="4" w:space="0" w:color="auto"/>
              <w:bottom w:val="single" w:sz="4" w:space="0" w:color="auto"/>
              <w:right w:val="single" w:sz="4" w:space="0" w:color="auto"/>
            </w:tcBorders>
            <w:shd w:val="clear" w:color="auto" w:fill="auto"/>
            <w:noWrap/>
            <w:vAlign w:val="center"/>
          </w:tcPr>
          <w:p>
            <w:pPr>
              <w:adjustRightInd w:val="0"/>
              <w:snapToGrid w:val="0"/>
              <w:spacing w:line="240" w:lineRule="auto"/>
              <w:jc w:val="center"/>
              <w:rPr>
                <w:sz w:val="21"/>
              </w:rPr>
            </w:pPr>
            <w:r>
              <w:rPr>
                <w:sz w:val="21"/>
              </w:rPr>
              <w:t>2023-2025</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tcPr>
          <w:p>
            <w:pPr>
              <w:adjustRightInd w:val="0"/>
              <w:snapToGrid w:val="0"/>
              <w:spacing w:line="240" w:lineRule="auto"/>
              <w:jc w:val="center"/>
              <w:rPr>
                <w:sz w:val="21"/>
              </w:rPr>
            </w:pPr>
            <w:r>
              <w:rPr>
                <w:sz w:val="21"/>
              </w:rPr>
              <w:t>1000</w:t>
            </w:r>
          </w:p>
        </w:tc>
        <w:tc>
          <w:tcPr>
            <w:tcW w:w="703" w:type="pct"/>
            <w:tcBorders>
              <w:top w:val="single" w:sz="4" w:space="0" w:color="auto"/>
              <w:left w:val="single" w:sz="4" w:space="0" w:color="auto"/>
              <w:bottom w:val="single" w:sz="4" w:space="0" w:color="auto"/>
              <w:right w:val="single" w:sz="4" w:space="0" w:color="auto"/>
            </w:tcBorders>
            <w:shd w:val="clear" w:color="auto" w:fill="auto"/>
            <w:noWrap/>
            <w:vAlign w:val="center"/>
          </w:tcPr>
          <w:p>
            <w:pPr>
              <w:adjustRightInd w:val="0"/>
              <w:snapToGrid w:val="0"/>
              <w:spacing w:line="240" w:lineRule="auto"/>
              <w:jc w:val="center"/>
              <w:rPr>
                <w:bCs/>
                <w:sz w:val="21"/>
              </w:rPr>
            </w:pPr>
            <w:r>
              <w:rPr>
                <w:bCs/>
                <w:sz w:val="21"/>
              </w:rPr>
              <w:t>雨花台生态环境局、</w:t>
              <w:tab/>
              <w:t>区发改委</w:t>
              <w:tab/>
              <w:t>、各相关街道、雨花经济开发区</w:t>
            </w:r>
          </w:p>
        </w:tc>
      </w:tr>
      <w:tr>
        <w:trPr>
          <w:trHeight w:val="340"/>
        </w:trPr>
        <w:tc>
          <w:tcPr>
            <w:tcW w:w="287" w:type="pct"/>
            <w:vMerge/>
            <w:tcBorders>
              <w:top w:val="single" w:sz="4" w:space="0" w:color="auto"/>
              <w:left w:val="single" w:sz="4" w:space="0" w:color="auto"/>
              <w:bottom w:val="single" w:sz="4" w:space="0" w:color="auto"/>
              <w:right w:val="single" w:sz="4" w:space="0" w:color="auto"/>
            </w:tcBorders>
            <w:shd w:val="clear" w:color="auto" w:fill="auto"/>
            <w:noWrap/>
            <w:vAlign w:val="center"/>
          </w:tcPr>
          <w:p/>
        </w:tc>
        <w:tc>
          <w:tcPr>
            <w:tcW w:w="173" w:type="pct"/>
            <w:tcBorders>
              <w:top w:val="single" w:sz="4" w:space="0" w:color="auto"/>
              <w:left w:val="single" w:sz="4" w:space="0" w:color="auto"/>
              <w:bottom w:val="single" w:sz="4" w:space="0" w:color="auto"/>
              <w:right w:val="single" w:sz="4" w:space="0" w:color="auto"/>
            </w:tcBorders>
            <w:shd w:val="clear" w:color="auto" w:fill="auto"/>
            <w:noWrap/>
            <w:vAlign w:val="center"/>
          </w:tcPr>
          <w:p>
            <w:pPr>
              <w:numPr>
                <w:ilvl w:val="0"/>
                <w:numId w:val="11"/>
              </w:numPr>
              <w:adjustRightInd w:val="0"/>
              <w:snapToGrid w:val="0"/>
              <w:spacing w:line="240" w:lineRule="auto"/>
              <w:ind w:left="0" w:firstLine="0"/>
              <w:jc w:val="center"/>
              <w:rPr>
                <w:sz w:val="21"/>
              </w:rPr>
            </w:pPr>
          </w:p>
        </w:tc>
        <w:tc>
          <w:tcPr>
            <w:tcW w:w="798" w:type="pct"/>
            <w:tcBorders>
              <w:top w:val="single" w:sz="4" w:space="0" w:color="auto"/>
              <w:left w:val="single" w:sz="4" w:space="0" w:color="auto"/>
              <w:bottom w:val="single" w:sz="4" w:space="0" w:color="auto"/>
              <w:right w:val="single" w:sz="4" w:space="0" w:color="auto"/>
            </w:tcBorders>
            <w:shd w:val="clear" w:color="auto" w:fill="auto"/>
            <w:noWrap/>
            <w:vAlign w:val="center"/>
          </w:tcPr>
          <w:p>
            <w:pPr>
              <w:adjustRightInd w:val="0"/>
              <w:snapToGrid w:val="0"/>
              <w:spacing w:line="240" w:lineRule="auto"/>
              <w:jc w:val="center"/>
              <w:rPr>
                <w:bCs/>
                <w:sz w:val="21"/>
              </w:rPr>
            </w:pPr>
            <w:r>
              <w:rPr>
                <w:sz w:val="21"/>
              </w:rPr>
              <w:t>挥发性有机物治理工程</w:t>
            </w:r>
          </w:p>
        </w:tc>
        <w:tc>
          <w:tcPr>
            <w:tcW w:w="2198" w:type="pct"/>
            <w:tcBorders>
              <w:top w:val="single" w:sz="4" w:space="0" w:color="auto"/>
              <w:left w:val="single" w:sz="4" w:space="0" w:color="auto"/>
              <w:bottom w:val="single" w:sz="4" w:space="0" w:color="auto"/>
              <w:right w:val="single" w:sz="4" w:space="0" w:color="auto"/>
            </w:tcBorders>
            <w:shd w:val="clear" w:color="auto" w:fill="auto"/>
            <w:noWrap/>
            <w:vAlign w:val="center"/>
          </w:tcPr>
          <w:p>
            <w:pPr>
              <w:adjustRightInd w:val="0"/>
              <w:snapToGrid w:val="0"/>
              <w:spacing w:line="240" w:lineRule="auto"/>
              <w:ind w:firstLine="420"/>
              <w:rPr>
                <w:bCs/>
                <w:sz w:val="21"/>
              </w:rPr>
            </w:pPr>
            <w:r>
              <w:rPr>
                <w:sz w:val="21"/>
              </w:rPr>
              <w:t>实施VOCs源头替代，强化无组织排放控制，实施VOCs综合治理。</w:t>
            </w:r>
          </w:p>
        </w:tc>
        <w:tc>
          <w:tcPr>
            <w:tcW w:w="418" w:type="pct"/>
            <w:tcBorders>
              <w:top w:val="single" w:sz="4" w:space="0" w:color="auto"/>
              <w:left w:val="single" w:sz="4" w:space="0" w:color="auto"/>
              <w:bottom w:val="single" w:sz="4" w:space="0" w:color="auto"/>
              <w:right w:val="single" w:sz="4" w:space="0" w:color="auto"/>
            </w:tcBorders>
            <w:shd w:val="clear" w:color="auto" w:fill="auto"/>
            <w:noWrap/>
            <w:vAlign w:val="center"/>
          </w:tcPr>
          <w:p>
            <w:pPr>
              <w:adjustRightInd w:val="0"/>
              <w:snapToGrid w:val="0"/>
              <w:spacing w:line="240" w:lineRule="auto"/>
              <w:jc w:val="center"/>
              <w:rPr>
                <w:sz w:val="21"/>
              </w:rPr>
            </w:pPr>
            <w:r>
              <w:rPr>
                <w:sz w:val="21"/>
              </w:rPr>
              <w:t>2023-2025</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tcPr>
          <w:p>
            <w:pPr>
              <w:adjustRightInd w:val="0"/>
              <w:snapToGrid w:val="0"/>
              <w:spacing w:line="240" w:lineRule="auto"/>
              <w:jc w:val="center"/>
              <w:rPr>
                <w:sz w:val="21"/>
              </w:rPr>
            </w:pPr>
            <w:r>
              <w:rPr>
                <w:sz w:val="21"/>
              </w:rPr>
              <w:t>200</w:t>
            </w:r>
          </w:p>
        </w:tc>
        <w:tc>
          <w:tcPr>
            <w:tcW w:w="703" w:type="pct"/>
            <w:tcBorders>
              <w:top w:val="single" w:sz="4" w:space="0" w:color="auto"/>
              <w:left w:val="single" w:sz="4" w:space="0" w:color="auto"/>
              <w:bottom w:val="single" w:sz="4" w:space="0" w:color="auto"/>
              <w:right w:val="single" w:sz="4" w:space="0" w:color="auto"/>
            </w:tcBorders>
            <w:shd w:val="clear" w:color="auto" w:fill="auto"/>
            <w:noWrap/>
            <w:vAlign w:val="center"/>
          </w:tcPr>
          <w:p>
            <w:pPr>
              <w:adjustRightInd w:val="0"/>
              <w:snapToGrid w:val="0"/>
              <w:spacing w:line="240" w:lineRule="auto"/>
              <w:jc w:val="center"/>
              <w:rPr>
                <w:bCs/>
                <w:sz w:val="21"/>
              </w:rPr>
            </w:pPr>
            <w:r>
              <w:rPr>
                <w:bCs/>
                <w:sz w:val="21"/>
              </w:rPr>
              <w:t>雨花台生态环境局、</w:t>
              <w:tab/>
              <w:tab/>
              <w:t>各相关街道、雨花经济开发区</w:t>
            </w:r>
          </w:p>
        </w:tc>
      </w:tr>
      <w:tr>
        <w:trPr>
          <w:trHeight w:val="340"/>
        </w:trPr>
        <w:tc>
          <w:tcPr>
            <w:tcW w:w="287" w:type="pct"/>
            <w:vMerge/>
            <w:tcBorders>
              <w:top w:val="single" w:sz="4" w:space="0" w:color="auto"/>
              <w:left w:val="single" w:sz="4" w:space="0" w:color="auto"/>
              <w:bottom w:val="single" w:sz="4" w:space="0" w:color="auto"/>
              <w:right w:val="single" w:sz="4" w:space="0" w:color="auto"/>
            </w:tcBorders>
            <w:shd w:val="clear" w:color="auto" w:fill="auto"/>
            <w:noWrap/>
            <w:vAlign w:val="center"/>
          </w:tcPr>
          <w:p/>
        </w:tc>
        <w:tc>
          <w:tcPr>
            <w:tcW w:w="173" w:type="pct"/>
            <w:tcBorders>
              <w:top w:val="single" w:sz="4" w:space="0" w:color="auto"/>
              <w:left w:val="single" w:sz="4" w:space="0" w:color="auto"/>
              <w:bottom w:val="single" w:sz="4" w:space="0" w:color="auto"/>
              <w:right w:val="single" w:sz="4" w:space="0" w:color="auto"/>
            </w:tcBorders>
            <w:shd w:val="clear" w:color="auto" w:fill="auto"/>
            <w:noWrap/>
            <w:vAlign w:val="center"/>
          </w:tcPr>
          <w:p>
            <w:pPr>
              <w:numPr>
                <w:ilvl w:val="0"/>
                <w:numId w:val="11"/>
              </w:numPr>
              <w:adjustRightInd w:val="0"/>
              <w:snapToGrid w:val="0"/>
              <w:spacing w:line="240" w:lineRule="auto"/>
              <w:ind w:left="0" w:firstLine="0"/>
              <w:jc w:val="center"/>
              <w:rPr>
                <w:sz w:val="21"/>
              </w:rPr>
            </w:pPr>
          </w:p>
        </w:tc>
        <w:tc>
          <w:tcPr>
            <w:tcW w:w="798" w:type="pct"/>
            <w:tcBorders>
              <w:top w:val="single" w:sz="4" w:space="0" w:color="auto"/>
              <w:left w:val="single" w:sz="4" w:space="0" w:color="auto"/>
              <w:bottom w:val="single" w:sz="4" w:space="0" w:color="auto"/>
              <w:right w:val="single" w:sz="4" w:space="0" w:color="auto"/>
            </w:tcBorders>
            <w:shd w:val="clear" w:color="auto" w:fill="auto"/>
            <w:noWrap/>
            <w:vAlign w:val="center"/>
          </w:tcPr>
          <w:p>
            <w:pPr>
              <w:adjustRightInd w:val="0"/>
              <w:snapToGrid w:val="0"/>
              <w:spacing w:line="240" w:lineRule="auto"/>
              <w:jc w:val="center"/>
              <w:rPr>
                <w:bCs/>
                <w:sz w:val="21"/>
              </w:rPr>
            </w:pPr>
            <w:r>
              <w:rPr>
                <w:sz w:val="21"/>
              </w:rPr>
              <w:t>共性工厂建设和集中处理工程</w:t>
            </w:r>
          </w:p>
        </w:tc>
        <w:tc>
          <w:tcPr>
            <w:tcW w:w="2198" w:type="pct"/>
            <w:tcBorders>
              <w:top w:val="single" w:sz="4" w:space="0" w:color="auto"/>
              <w:left w:val="single" w:sz="4" w:space="0" w:color="auto"/>
              <w:bottom w:val="single" w:sz="4" w:space="0" w:color="auto"/>
              <w:right w:val="single" w:sz="4" w:space="0" w:color="auto"/>
            </w:tcBorders>
            <w:shd w:val="clear" w:color="auto" w:fill="auto"/>
            <w:noWrap/>
            <w:vAlign w:val="center"/>
          </w:tcPr>
          <w:p>
            <w:pPr>
              <w:adjustRightInd w:val="0"/>
              <w:snapToGrid w:val="0"/>
              <w:spacing w:line="240" w:lineRule="auto"/>
              <w:ind w:firstLine="420"/>
              <w:rPr>
                <w:bCs/>
                <w:sz w:val="21"/>
              </w:rPr>
            </w:pPr>
            <w:r>
              <w:rPr>
                <w:sz w:val="21"/>
              </w:rPr>
              <w:t>加快推进南京宝丽养车全水性汽车涂装工业等汽车行业涉VOCs“绿岛”项目。</w:t>
            </w:r>
          </w:p>
        </w:tc>
        <w:tc>
          <w:tcPr>
            <w:tcW w:w="418" w:type="pct"/>
            <w:tcBorders>
              <w:top w:val="single" w:sz="4" w:space="0" w:color="auto"/>
              <w:left w:val="single" w:sz="4" w:space="0" w:color="auto"/>
              <w:bottom w:val="single" w:sz="4" w:space="0" w:color="auto"/>
              <w:right w:val="single" w:sz="4" w:space="0" w:color="auto"/>
            </w:tcBorders>
            <w:shd w:val="clear" w:color="auto" w:fill="auto"/>
            <w:noWrap/>
            <w:vAlign w:val="center"/>
          </w:tcPr>
          <w:p>
            <w:pPr>
              <w:adjustRightInd w:val="0"/>
              <w:snapToGrid w:val="0"/>
              <w:spacing w:line="240" w:lineRule="auto"/>
              <w:jc w:val="center"/>
              <w:rPr>
                <w:sz w:val="21"/>
              </w:rPr>
            </w:pPr>
            <w:r>
              <w:rPr>
                <w:sz w:val="21"/>
              </w:rPr>
              <w:t>2023-2025</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tcPr>
          <w:p>
            <w:pPr>
              <w:adjustRightInd w:val="0"/>
              <w:snapToGrid w:val="0"/>
              <w:spacing w:line="240" w:lineRule="auto"/>
              <w:jc w:val="center"/>
              <w:rPr>
                <w:sz w:val="21"/>
              </w:rPr>
            </w:pPr>
            <w:r>
              <w:rPr>
                <w:sz w:val="21"/>
              </w:rPr>
              <w:t>236.25</w:t>
            </w:r>
          </w:p>
        </w:tc>
        <w:tc>
          <w:tcPr>
            <w:tcW w:w="703" w:type="pct"/>
            <w:tcBorders>
              <w:top w:val="single" w:sz="4" w:space="0" w:color="auto"/>
              <w:left w:val="single" w:sz="4" w:space="0" w:color="auto"/>
              <w:bottom w:val="single" w:sz="4" w:space="0" w:color="auto"/>
              <w:right w:val="single" w:sz="4" w:space="0" w:color="auto"/>
            </w:tcBorders>
            <w:shd w:val="clear" w:color="auto" w:fill="auto"/>
            <w:noWrap/>
            <w:vAlign w:val="center"/>
          </w:tcPr>
          <w:p>
            <w:pPr>
              <w:adjustRightInd w:val="0"/>
              <w:snapToGrid w:val="0"/>
              <w:spacing w:line="240" w:lineRule="auto"/>
              <w:jc w:val="center"/>
              <w:rPr>
                <w:bCs/>
                <w:sz w:val="21"/>
              </w:rPr>
            </w:pPr>
            <w:r>
              <w:rPr>
                <w:bCs/>
                <w:sz w:val="21"/>
              </w:rPr>
              <w:t>雨花台生态环境局、区发改委、区工信局、</w:t>
              <w:tab/>
              <w:tab/>
              <w:t>各相关街道</w:t>
            </w:r>
          </w:p>
        </w:tc>
      </w:tr>
      <w:tr>
        <w:trPr>
          <w:trHeight w:val="340"/>
        </w:trPr>
        <w:tc>
          <w:tcPr>
            <w:tcW w:w="287" w:type="pct"/>
            <w:vMerge/>
            <w:tcBorders>
              <w:top w:val="single" w:sz="4" w:space="0" w:color="auto"/>
              <w:left w:val="single" w:sz="4" w:space="0" w:color="auto"/>
              <w:bottom w:val="single" w:sz="4" w:space="0" w:color="auto"/>
              <w:right w:val="single" w:sz="4" w:space="0" w:color="auto"/>
            </w:tcBorders>
            <w:shd w:val="clear" w:color="auto" w:fill="auto"/>
            <w:noWrap/>
            <w:vAlign w:val="center"/>
          </w:tcPr>
          <w:p/>
        </w:tc>
        <w:tc>
          <w:tcPr>
            <w:tcW w:w="173" w:type="pct"/>
            <w:tcBorders>
              <w:top w:val="single" w:sz="4" w:space="0" w:color="auto"/>
              <w:left w:val="single" w:sz="4" w:space="0" w:color="auto"/>
              <w:bottom w:val="single" w:sz="4" w:space="0" w:color="auto"/>
              <w:right w:val="single" w:sz="4" w:space="0" w:color="auto"/>
            </w:tcBorders>
            <w:shd w:val="clear" w:color="auto" w:fill="auto"/>
            <w:noWrap/>
            <w:vAlign w:val="center"/>
          </w:tcPr>
          <w:p>
            <w:pPr>
              <w:numPr>
                <w:ilvl w:val="0"/>
                <w:numId w:val="11"/>
              </w:numPr>
              <w:adjustRightInd w:val="0"/>
              <w:snapToGrid w:val="0"/>
              <w:spacing w:line="240" w:lineRule="auto"/>
              <w:ind w:left="0" w:firstLine="0"/>
              <w:jc w:val="center"/>
              <w:rPr>
                <w:sz w:val="21"/>
              </w:rPr>
            </w:pPr>
          </w:p>
        </w:tc>
        <w:tc>
          <w:tcPr>
            <w:tcW w:w="798" w:type="pct"/>
            <w:tcBorders>
              <w:top w:val="single" w:sz="4" w:space="0" w:color="auto"/>
              <w:left w:val="single" w:sz="4" w:space="0" w:color="auto"/>
              <w:bottom w:val="single" w:sz="4" w:space="0" w:color="auto"/>
              <w:right w:val="single" w:sz="4" w:space="0" w:color="auto"/>
            </w:tcBorders>
            <w:shd w:val="clear" w:color="auto" w:fill="auto"/>
            <w:noWrap/>
            <w:vAlign w:val="center"/>
          </w:tcPr>
          <w:p>
            <w:pPr>
              <w:adjustRightInd w:val="0"/>
              <w:snapToGrid w:val="0"/>
              <w:spacing w:line="240" w:lineRule="auto"/>
              <w:jc w:val="center"/>
              <w:rPr>
                <w:sz w:val="21"/>
              </w:rPr>
            </w:pPr>
            <w:r>
              <w:rPr>
                <w:sz w:val="21"/>
              </w:rPr>
              <w:t>码头堆场防尘网更新改造工程</w:t>
            </w:r>
          </w:p>
        </w:tc>
        <w:tc>
          <w:tcPr>
            <w:tcW w:w="2198" w:type="pct"/>
            <w:tcBorders>
              <w:top w:val="single" w:sz="4" w:space="0" w:color="auto"/>
              <w:left w:val="single" w:sz="4" w:space="0" w:color="auto"/>
              <w:bottom w:val="single" w:sz="4" w:space="0" w:color="auto"/>
              <w:right w:val="single" w:sz="4" w:space="0" w:color="auto"/>
            </w:tcBorders>
            <w:shd w:val="clear" w:color="auto" w:fill="auto"/>
            <w:noWrap/>
            <w:vAlign w:val="center"/>
          </w:tcPr>
          <w:p>
            <w:pPr>
              <w:adjustRightInd w:val="0"/>
              <w:snapToGrid w:val="0"/>
              <w:spacing w:line="240" w:lineRule="auto"/>
              <w:ind w:firstLine="420"/>
              <w:rPr>
                <w:sz w:val="21"/>
              </w:rPr>
            </w:pPr>
            <w:r>
              <w:rPr>
                <w:bCs/>
                <w:sz w:val="21"/>
              </w:rPr>
              <w:t>完成南京古雄码头有限公司、南京凤翔码头装卸有限责任公司堆场防尘网更新改造。</w:t>
            </w:r>
          </w:p>
        </w:tc>
        <w:tc>
          <w:tcPr>
            <w:tcW w:w="418" w:type="pct"/>
            <w:tcBorders>
              <w:top w:val="single" w:sz="4" w:space="0" w:color="auto"/>
              <w:left w:val="single" w:sz="4" w:space="0" w:color="auto"/>
              <w:bottom w:val="single" w:sz="4" w:space="0" w:color="auto"/>
              <w:right w:val="single" w:sz="4" w:space="0" w:color="auto"/>
            </w:tcBorders>
            <w:shd w:val="clear" w:color="auto" w:fill="auto"/>
            <w:noWrap/>
            <w:vAlign w:val="center"/>
          </w:tcPr>
          <w:p>
            <w:pPr>
              <w:adjustRightInd w:val="0"/>
              <w:snapToGrid w:val="0"/>
              <w:spacing w:line="240" w:lineRule="auto"/>
              <w:jc w:val="center"/>
              <w:rPr>
                <w:sz w:val="21"/>
              </w:rPr>
            </w:pPr>
            <w:r>
              <w:rPr>
                <w:sz w:val="21"/>
              </w:rPr>
              <w:t>2023-2024</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tcPr>
          <w:p>
            <w:pPr>
              <w:adjustRightInd w:val="0"/>
              <w:snapToGrid w:val="0"/>
              <w:spacing w:line="240" w:lineRule="auto"/>
              <w:jc w:val="center"/>
              <w:rPr>
                <w:sz w:val="21"/>
              </w:rPr>
            </w:pPr>
            <w:r>
              <w:rPr>
                <w:sz w:val="21"/>
              </w:rPr>
              <w:t>180</w:t>
            </w:r>
          </w:p>
        </w:tc>
        <w:tc>
          <w:tcPr>
            <w:tcW w:w="703" w:type="pct"/>
            <w:tcBorders>
              <w:top w:val="single" w:sz="4" w:space="0" w:color="auto"/>
              <w:left w:val="single" w:sz="4" w:space="0" w:color="auto"/>
              <w:bottom w:val="single" w:sz="4" w:space="0" w:color="auto"/>
              <w:right w:val="single" w:sz="4" w:space="0" w:color="auto"/>
            </w:tcBorders>
            <w:shd w:val="clear" w:color="auto" w:fill="auto"/>
            <w:noWrap/>
            <w:vAlign w:val="center"/>
          </w:tcPr>
          <w:p>
            <w:pPr>
              <w:adjustRightInd w:val="0"/>
              <w:snapToGrid w:val="0"/>
              <w:spacing w:line="240" w:lineRule="auto"/>
              <w:jc w:val="center"/>
              <w:rPr>
                <w:bCs/>
                <w:sz w:val="21"/>
              </w:rPr>
            </w:pPr>
            <w:r>
              <w:rPr>
                <w:bCs/>
                <w:sz w:val="21"/>
              </w:rPr>
              <w:t>南京古雄码头有限公司、南京凤翔码头装卸有限责任公司</w:t>
            </w:r>
          </w:p>
        </w:tc>
      </w:tr>
      <w:tr>
        <w:trPr>
          <w:trHeight w:val="340"/>
        </w:trPr>
        <w:tc>
          <w:tcPr>
            <w:tcW w:w="287" w:type="pct"/>
            <w:vMerge/>
            <w:tcBorders>
              <w:top w:val="single" w:sz="4" w:space="0" w:color="auto"/>
              <w:left w:val="single" w:sz="4" w:space="0" w:color="auto"/>
              <w:bottom w:val="single" w:sz="4" w:space="0" w:color="auto"/>
              <w:right w:val="single" w:sz="4" w:space="0" w:color="auto"/>
            </w:tcBorders>
            <w:shd w:val="clear" w:color="auto" w:fill="auto"/>
            <w:noWrap/>
            <w:vAlign w:val="center"/>
          </w:tcPr>
          <w:p/>
        </w:tc>
        <w:tc>
          <w:tcPr>
            <w:tcW w:w="173" w:type="pct"/>
            <w:tcBorders>
              <w:top w:val="single" w:sz="4" w:space="0" w:color="auto"/>
              <w:left w:val="single" w:sz="4" w:space="0" w:color="auto"/>
              <w:bottom w:val="single" w:sz="4" w:space="0" w:color="auto"/>
              <w:right w:val="single" w:sz="4" w:space="0" w:color="auto"/>
            </w:tcBorders>
            <w:shd w:val="clear" w:color="auto" w:fill="auto"/>
            <w:noWrap/>
            <w:vAlign w:val="center"/>
          </w:tcPr>
          <w:p>
            <w:pPr>
              <w:numPr>
                <w:ilvl w:val="0"/>
                <w:numId w:val="11"/>
              </w:numPr>
              <w:adjustRightInd w:val="0"/>
              <w:snapToGrid w:val="0"/>
              <w:spacing w:line="240" w:lineRule="auto"/>
              <w:ind w:left="0" w:firstLine="0"/>
              <w:jc w:val="center"/>
              <w:rPr>
                <w:sz w:val="21"/>
              </w:rPr>
            </w:pPr>
          </w:p>
        </w:tc>
        <w:tc>
          <w:tcPr>
            <w:tcW w:w="798" w:type="pct"/>
            <w:tcBorders>
              <w:top w:val="single" w:sz="4" w:space="0" w:color="auto"/>
              <w:left w:val="single" w:sz="4" w:space="0" w:color="auto"/>
              <w:bottom w:val="single" w:sz="4" w:space="0" w:color="auto"/>
              <w:right w:val="single" w:sz="4" w:space="0" w:color="auto"/>
            </w:tcBorders>
            <w:shd w:val="clear" w:color="auto" w:fill="auto"/>
            <w:noWrap/>
            <w:vAlign w:val="center"/>
          </w:tcPr>
          <w:p>
            <w:pPr>
              <w:adjustRightInd w:val="0"/>
              <w:snapToGrid w:val="0"/>
              <w:spacing w:line="240" w:lineRule="auto"/>
              <w:jc w:val="center"/>
              <w:rPr>
                <w:sz w:val="21"/>
              </w:rPr>
            </w:pPr>
            <w:r>
              <w:rPr>
                <w:sz w:val="21"/>
              </w:rPr>
              <w:t>氮氧化物减排工程</w:t>
            </w:r>
          </w:p>
        </w:tc>
        <w:tc>
          <w:tcPr>
            <w:tcW w:w="2198" w:type="pct"/>
            <w:tcBorders>
              <w:top w:val="single" w:sz="4" w:space="0" w:color="auto"/>
              <w:left w:val="single" w:sz="4" w:space="0" w:color="auto"/>
              <w:bottom w:val="single" w:sz="4" w:space="0" w:color="auto"/>
              <w:right w:val="single" w:sz="4" w:space="0" w:color="auto"/>
            </w:tcBorders>
            <w:shd w:val="clear" w:color="auto" w:fill="auto"/>
            <w:noWrap/>
            <w:vAlign w:val="center"/>
          </w:tcPr>
          <w:p>
            <w:pPr>
              <w:adjustRightInd w:val="0"/>
              <w:snapToGrid w:val="0"/>
              <w:spacing w:line="240" w:lineRule="auto"/>
              <w:ind w:firstLine="420"/>
              <w:rPr>
                <w:bCs/>
                <w:sz w:val="21"/>
              </w:rPr>
            </w:pPr>
            <w:r>
              <w:rPr>
                <w:bCs/>
                <w:sz w:val="21"/>
              </w:rPr>
              <w:t>南京宝地梅山产城发展有限公司矿业分公司更换浮选药剂，降低异味及氮氧化物排放。</w:t>
            </w:r>
          </w:p>
        </w:tc>
        <w:tc>
          <w:tcPr>
            <w:tcW w:w="418" w:type="pct"/>
            <w:tcBorders>
              <w:top w:val="single" w:sz="4" w:space="0" w:color="auto"/>
              <w:left w:val="single" w:sz="4" w:space="0" w:color="auto"/>
              <w:bottom w:val="single" w:sz="4" w:space="0" w:color="auto"/>
              <w:right w:val="single" w:sz="4" w:space="0" w:color="auto"/>
            </w:tcBorders>
            <w:shd w:val="clear" w:color="auto" w:fill="auto"/>
            <w:noWrap/>
            <w:vAlign w:val="center"/>
          </w:tcPr>
          <w:p>
            <w:pPr>
              <w:adjustRightInd w:val="0"/>
              <w:snapToGrid w:val="0"/>
              <w:spacing w:line="240" w:lineRule="auto"/>
              <w:jc w:val="center"/>
              <w:rPr>
                <w:sz w:val="21"/>
              </w:rPr>
            </w:pPr>
            <w:r>
              <w:rPr>
                <w:sz w:val="21"/>
              </w:rPr>
              <w:t>2023-2024</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tcPr>
          <w:p>
            <w:pPr>
              <w:adjustRightInd w:val="0"/>
              <w:snapToGrid w:val="0"/>
              <w:spacing w:line="240" w:lineRule="auto"/>
              <w:jc w:val="center"/>
              <w:rPr>
                <w:sz w:val="21"/>
              </w:rPr>
            </w:pPr>
            <w:r>
              <w:rPr>
                <w:sz w:val="21"/>
              </w:rPr>
              <w:t>400</w:t>
            </w:r>
          </w:p>
        </w:tc>
        <w:tc>
          <w:tcPr>
            <w:tcW w:w="703" w:type="pct"/>
            <w:tcBorders>
              <w:top w:val="single" w:sz="4" w:space="0" w:color="auto"/>
              <w:left w:val="single" w:sz="4" w:space="0" w:color="auto"/>
              <w:bottom w:val="single" w:sz="4" w:space="0" w:color="auto"/>
              <w:right w:val="single" w:sz="4" w:space="0" w:color="auto"/>
            </w:tcBorders>
            <w:shd w:val="clear" w:color="auto" w:fill="auto"/>
            <w:noWrap/>
            <w:vAlign w:val="center"/>
          </w:tcPr>
          <w:p>
            <w:pPr>
              <w:adjustRightInd w:val="0"/>
              <w:snapToGrid w:val="0"/>
              <w:spacing w:line="240" w:lineRule="auto"/>
              <w:jc w:val="center"/>
              <w:rPr>
                <w:bCs/>
                <w:sz w:val="21"/>
              </w:rPr>
            </w:pPr>
            <w:r>
              <w:rPr>
                <w:bCs/>
                <w:sz w:val="21"/>
              </w:rPr>
              <w:t>南京宝地梅山产城发展有限公司矿业分公司</w:t>
            </w:r>
          </w:p>
        </w:tc>
      </w:tr>
      <w:tr>
        <w:trPr>
          <w:trHeight w:val="340"/>
        </w:trPr>
        <w:tc>
          <w:tcPr>
            <w:tcW w:w="287" w:type="pct"/>
            <w:vMerge/>
            <w:tcBorders>
              <w:top w:val="single" w:sz="4" w:space="0" w:color="auto"/>
              <w:left w:val="single" w:sz="4" w:space="0" w:color="auto"/>
              <w:bottom w:val="single" w:sz="4" w:space="0" w:color="auto"/>
              <w:right w:val="single" w:sz="4" w:space="0" w:color="auto"/>
            </w:tcBorders>
            <w:shd w:val="clear" w:color="auto" w:fill="auto"/>
            <w:noWrap/>
            <w:vAlign w:val="center"/>
          </w:tcPr>
          <w:p/>
        </w:tc>
        <w:tc>
          <w:tcPr>
            <w:tcW w:w="173" w:type="pct"/>
            <w:tcBorders>
              <w:top w:val="single" w:sz="4" w:space="0" w:color="auto"/>
              <w:left w:val="single" w:sz="4" w:space="0" w:color="auto"/>
              <w:bottom w:val="single" w:sz="4" w:space="0" w:color="auto"/>
              <w:right w:val="single" w:sz="4" w:space="0" w:color="auto"/>
            </w:tcBorders>
            <w:shd w:val="clear" w:color="auto" w:fill="auto"/>
            <w:noWrap/>
            <w:vAlign w:val="center"/>
          </w:tcPr>
          <w:p>
            <w:pPr>
              <w:numPr>
                <w:ilvl w:val="0"/>
                <w:numId w:val="11"/>
              </w:numPr>
              <w:adjustRightInd w:val="0"/>
              <w:snapToGrid w:val="0"/>
              <w:spacing w:line="240" w:lineRule="auto"/>
              <w:ind w:left="0" w:firstLine="0"/>
              <w:jc w:val="center"/>
              <w:rPr>
                <w:sz w:val="21"/>
              </w:rPr>
            </w:pPr>
          </w:p>
        </w:tc>
        <w:tc>
          <w:tcPr>
            <w:tcW w:w="798" w:type="pct"/>
            <w:tcBorders>
              <w:top w:val="single" w:sz="4" w:space="0" w:color="auto"/>
              <w:left w:val="single" w:sz="4" w:space="0" w:color="auto"/>
              <w:bottom w:val="single" w:sz="4" w:space="0" w:color="auto"/>
              <w:right w:val="single" w:sz="4" w:space="0" w:color="auto"/>
            </w:tcBorders>
            <w:shd w:val="clear" w:color="auto" w:fill="auto"/>
            <w:noWrap/>
            <w:vAlign w:val="center"/>
          </w:tcPr>
          <w:p>
            <w:pPr>
              <w:adjustRightInd w:val="0"/>
              <w:snapToGrid w:val="0"/>
              <w:spacing w:line="240" w:lineRule="auto"/>
              <w:jc w:val="center"/>
              <w:rPr>
                <w:sz w:val="21"/>
              </w:rPr>
            </w:pPr>
            <w:r>
              <w:rPr>
                <w:sz w:val="21"/>
              </w:rPr>
              <w:t>污水处理设施建设改造项目</w:t>
            </w:r>
          </w:p>
        </w:tc>
        <w:tc>
          <w:tcPr>
            <w:tcW w:w="2198" w:type="pct"/>
            <w:tcBorders>
              <w:top w:val="single" w:sz="4" w:space="0" w:color="auto"/>
              <w:left w:val="single" w:sz="4" w:space="0" w:color="auto"/>
              <w:bottom w:val="single" w:sz="4" w:space="0" w:color="auto"/>
              <w:right w:val="single" w:sz="4" w:space="0" w:color="auto"/>
            </w:tcBorders>
            <w:shd w:val="clear" w:color="auto" w:fill="auto"/>
            <w:noWrap/>
            <w:vAlign w:val="center"/>
          </w:tcPr>
          <w:p>
            <w:pPr>
              <w:adjustRightInd w:val="0"/>
              <w:snapToGrid w:val="0"/>
              <w:spacing w:line="240" w:lineRule="auto"/>
              <w:ind w:firstLine="420"/>
              <w:rPr>
                <w:sz w:val="21"/>
              </w:rPr>
            </w:pPr>
            <w:r>
              <w:rPr>
                <w:sz w:val="21"/>
              </w:rPr>
              <w:t>配合省市完成城南污水处理厂扩建等任务，开展街道污水处理设施提标改造。</w:t>
            </w:r>
          </w:p>
        </w:tc>
        <w:tc>
          <w:tcPr>
            <w:tcW w:w="418" w:type="pct"/>
            <w:tcBorders>
              <w:top w:val="single" w:sz="4" w:space="0" w:color="auto"/>
              <w:left w:val="single" w:sz="4" w:space="0" w:color="auto"/>
              <w:bottom w:val="single" w:sz="4" w:space="0" w:color="auto"/>
              <w:right w:val="single" w:sz="4" w:space="0" w:color="auto"/>
            </w:tcBorders>
            <w:shd w:val="clear" w:color="auto" w:fill="auto"/>
            <w:noWrap/>
            <w:vAlign w:val="center"/>
          </w:tcPr>
          <w:p>
            <w:pPr>
              <w:adjustRightInd w:val="0"/>
              <w:snapToGrid w:val="0"/>
              <w:spacing w:line="240" w:lineRule="auto"/>
              <w:jc w:val="center"/>
              <w:rPr>
                <w:sz w:val="21"/>
              </w:rPr>
            </w:pPr>
            <w:r>
              <w:rPr>
                <w:sz w:val="21"/>
              </w:rPr>
              <w:t>2023</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tcPr>
          <w:p>
            <w:pPr>
              <w:adjustRightInd w:val="0"/>
              <w:snapToGrid w:val="0"/>
              <w:spacing w:line="240" w:lineRule="auto"/>
              <w:jc w:val="center"/>
              <w:rPr>
                <w:sz w:val="21"/>
              </w:rPr>
            </w:pPr>
            <w:r>
              <w:rPr>
                <w:sz w:val="21"/>
              </w:rPr>
              <w:t>30000</w:t>
            </w:r>
          </w:p>
        </w:tc>
        <w:tc>
          <w:tcPr>
            <w:tcW w:w="703" w:type="pct"/>
            <w:tcBorders>
              <w:top w:val="single" w:sz="4" w:space="0" w:color="auto"/>
              <w:left w:val="single" w:sz="4" w:space="0" w:color="auto"/>
              <w:bottom w:val="single" w:sz="4" w:space="0" w:color="auto"/>
              <w:right w:val="single" w:sz="4" w:space="0" w:color="auto"/>
            </w:tcBorders>
            <w:shd w:val="clear" w:color="auto" w:fill="auto"/>
            <w:noWrap/>
            <w:vAlign w:val="center"/>
          </w:tcPr>
          <w:p>
            <w:pPr>
              <w:adjustRightInd w:val="0"/>
              <w:snapToGrid w:val="0"/>
              <w:spacing w:line="240" w:lineRule="auto"/>
              <w:jc w:val="center"/>
              <w:rPr>
                <w:sz w:val="21"/>
              </w:rPr>
            </w:pPr>
            <w:r>
              <w:rPr>
                <w:bCs/>
                <w:sz w:val="21"/>
              </w:rPr>
              <w:t>区水务局、雨花台生态环境局、</w:t>
              <w:tab/>
              <w:t>各相关街道</w:t>
            </w:r>
          </w:p>
        </w:tc>
      </w:tr>
      <w:tr>
        <w:trPr>
          <w:trHeight w:val="340"/>
        </w:trPr>
        <w:tc>
          <w:tcPr>
            <w:tcW w:w="287" w:type="pct"/>
            <w:vMerge/>
            <w:tcBorders>
              <w:top w:val="single" w:sz="4" w:space="0" w:color="auto"/>
              <w:left w:val="single" w:sz="4" w:space="0" w:color="auto"/>
              <w:bottom w:val="single" w:sz="4" w:space="0" w:color="auto"/>
              <w:right w:val="single" w:sz="4" w:space="0" w:color="auto"/>
            </w:tcBorders>
            <w:shd w:val="clear" w:color="auto" w:fill="auto"/>
            <w:noWrap/>
            <w:vAlign w:val="center"/>
          </w:tcPr>
          <w:p/>
        </w:tc>
        <w:tc>
          <w:tcPr>
            <w:tcW w:w="173" w:type="pct"/>
            <w:tcBorders>
              <w:top w:val="single" w:sz="4" w:space="0" w:color="auto"/>
              <w:left w:val="single" w:sz="4" w:space="0" w:color="auto"/>
              <w:bottom w:val="single" w:sz="4" w:space="0" w:color="auto"/>
              <w:right w:val="single" w:sz="4" w:space="0" w:color="auto"/>
            </w:tcBorders>
            <w:shd w:val="clear" w:color="auto" w:fill="auto"/>
            <w:noWrap/>
            <w:vAlign w:val="center"/>
          </w:tcPr>
          <w:p>
            <w:pPr>
              <w:numPr>
                <w:ilvl w:val="0"/>
                <w:numId w:val="11"/>
              </w:numPr>
              <w:adjustRightInd w:val="0"/>
              <w:snapToGrid w:val="0"/>
              <w:spacing w:line="240" w:lineRule="auto"/>
              <w:ind w:left="0" w:firstLine="0"/>
              <w:jc w:val="center"/>
              <w:rPr>
                <w:sz w:val="21"/>
              </w:rPr>
            </w:pPr>
          </w:p>
        </w:tc>
        <w:tc>
          <w:tcPr>
            <w:tcW w:w="798" w:type="pct"/>
            <w:tcBorders>
              <w:top w:val="single" w:sz="4" w:space="0" w:color="auto"/>
              <w:left w:val="single" w:sz="4" w:space="0" w:color="auto"/>
              <w:bottom w:val="single" w:sz="4" w:space="0" w:color="auto"/>
              <w:right w:val="single" w:sz="4" w:space="0" w:color="auto"/>
            </w:tcBorders>
            <w:shd w:val="clear" w:color="auto" w:fill="auto"/>
            <w:noWrap/>
            <w:vAlign w:val="center"/>
          </w:tcPr>
          <w:p>
            <w:pPr>
              <w:adjustRightInd w:val="0"/>
              <w:snapToGrid w:val="0"/>
              <w:spacing w:line="240" w:lineRule="auto"/>
              <w:jc w:val="center"/>
              <w:rPr>
                <w:sz w:val="21"/>
              </w:rPr>
            </w:pPr>
            <w:r>
              <w:rPr>
                <w:sz w:val="21"/>
              </w:rPr>
              <w:t>管网清疏和截流系统改造工程</w:t>
            </w:r>
          </w:p>
        </w:tc>
        <w:tc>
          <w:tcPr>
            <w:tcW w:w="2198" w:type="pct"/>
            <w:tcBorders>
              <w:top w:val="single" w:sz="4" w:space="0" w:color="auto"/>
              <w:left w:val="single" w:sz="4" w:space="0" w:color="auto"/>
              <w:bottom w:val="single" w:sz="4" w:space="0" w:color="auto"/>
              <w:right w:val="single" w:sz="4" w:space="0" w:color="auto"/>
            </w:tcBorders>
            <w:shd w:val="clear" w:color="auto" w:fill="auto"/>
            <w:noWrap/>
            <w:vAlign w:val="center"/>
          </w:tcPr>
          <w:p>
            <w:pPr>
              <w:adjustRightInd w:val="0"/>
              <w:snapToGrid w:val="0"/>
              <w:spacing w:line="240" w:lineRule="auto"/>
              <w:ind w:firstLine="420"/>
              <w:rPr>
                <w:sz w:val="21"/>
              </w:rPr>
            </w:pPr>
            <w:r>
              <w:rPr>
                <w:sz w:val="21"/>
              </w:rPr>
              <w:t>沿河、沿街“小散乱”排水整治，垃圾中转站、垃圾收集点内部雨污分流改造，居民小区和单位庭院排水错混接整治。</w:t>
            </w:r>
          </w:p>
        </w:tc>
        <w:tc>
          <w:tcPr>
            <w:tcW w:w="418" w:type="pct"/>
            <w:tcBorders>
              <w:top w:val="single" w:sz="4" w:space="0" w:color="auto"/>
              <w:left w:val="single" w:sz="4" w:space="0" w:color="auto"/>
              <w:bottom w:val="single" w:sz="4" w:space="0" w:color="auto"/>
              <w:right w:val="single" w:sz="4" w:space="0" w:color="auto"/>
            </w:tcBorders>
            <w:shd w:val="clear" w:color="auto" w:fill="auto"/>
            <w:noWrap/>
            <w:vAlign w:val="center"/>
          </w:tcPr>
          <w:p>
            <w:pPr>
              <w:adjustRightInd w:val="0"/>
              <w:snapToGrid w:val="0"/>
              <w:spacing w:line="240" w:lineRule="auto"/>
              <w:jc w:val="center"/>
              <w:rPr>
                <w:sz w:val="21"/>
              </w:rPr>
            </w:pPr>
            <w:r>
              <w:rPr>
                <w:sz w:val="21"/>
              </w:rPr>
              <w:t>2023-2025</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tcPr>
          <w:p>
            <w:pPr>
              <w:adjustRightInd w:val="0"/>
              <w:snapToGrid w:val="0"/>
              <w:spacing w:line="240" w:lineRule="auto"/>
              <w:jc w:val="center"/>
              <w:rPr>
                <w:sz w:val="21"/>
              </w:rPr>
            </w:pPr>
            <w:r>
              <w:rPr>
                <w:sz w:val="21"/>
              </w:rPr>
              <w:t>1200</w:t>
            </w:r>
          </w:p>
        </w:tc>
        <w:tc>
          <w:tcPr>
            <w:tcW w:w="703" w:type="pct"/>
            <w:tcBorders>
              <w:top w:val="single" w:sz="4" w:space="0" w:color="auto"/>
              <w:left w:val="single" w:sz="4" w:space="0" w:color="auto"/>
              <w:bottom w:val="single" w:sz="4" w:space="0" w:color="auto"/>
              <w:right w:val="single" w:sz="4" w:space="0" w:color="auto"/>
            </w:tcBorders>
            <w:shd w:val="clear" w:color="auto" w:fill="auto"/>
            <w:noWrap/>
            <w:vAlign w:val="center"/>
          </w:tcPr>
          <w:p>
            <w:pPr>
              <w:adjustRightInd w:val="0"/>
              <w:snapToGrid w:val="0"/>
              <w:spacing w:line="240" w:lineRule="auto"/>
              <w:jc w:val="center"/>
              <w:rPr>
                <w:sz w:val="21"/>
              </w:rPr>
            </w:pPr>
            <w:r>
              <w:rPr>
                <w:bCs/>
                <w:sz w:val="21"/>
              </w:rPr>
              <w:t>区水务局、</w:t>
              <w:tab/>
              <w:t>各相关街道</w:t>
            </w:r>
          </w:p>
        </w:tc>
      </w:tr>
      <w:tr>
        <w:trPr>
          <w:trHeight w:val="340"/>
        </w:trPr>
        <w:tc>
          <w:tcPr>
            <w:tcW w:w="287" w:type="pct"/>
            <w:vMerge/>
            <w:tcBorders>
              <w:top w:val="single" w:sz="4" w:space="0" w:color="auto"/>
              <w:left w:val="single" w:sz="4" w:space="0" w:color="auto"/>
              <w:bottom w:val="single" w:sz="4" w:space="0" w:color="auto"/>
              <w:right w:val="single" w:sz="4" w:space="0" w:color="auto"/>
            </w:tcBorders>
            <w:shd w:val="clear" w:color="auto" w:fill="auto"/>
            <w:noWrap/>
            <w:vAlign w:val="center"/>
          </w:tcPr>
          <w:p/>
        </w:tc>
        <w:tc>
          <w:tcPr>
            <w:tcW w:w="173" w:type="pct"/>
            <w:tcBorders>
              <w:top w:val="single" w:sz="4" w:space="0" w:color="auto"/>
              <w:left w:val="single" w:sz="4" w:space="0" w:color="auto"/>
              <w:bottom w:val="single" w:sz="4" w:space="0" w:color="auto"/>
              <w:right w:val="single" w:sz="4" w:space="0" w:color="auto"/>
            </w:tcBorders>
            <w:shd w:val="clear" w:color="auto" w:fill="auto"/>
            <w:noWrap/>
            <w:vAlign w:val="center"/>
          </w:tcPr>
          <w:p>
            <w:pPr>
              <w:numPr>
                <w:ilvl w:val="0"/>
                <w:numId w:val="11"/>
              </w:numPr>
              <w:adjustRightInd w:val="0"/>
              <w:snapToGrid w:val="0"/>
              <w:spacing w:line="240" w:lineRule="auto"/>
              <w:ind w:left="0" w:firstLine="0"/>
              <w:jc w:val="center"/>
              <w:rPr>
                <w:sz w:val="21"/>
              </w:rPr>
            </w:pPr>
          </w:p>
        </w:tc>
        <w:tc>
          <w:tcPr>
            <w:tcW w:w="798" w:type="pct"/>
            <w:tcBorders>
              <w:top w:val="single" w:sz="4" w:space="0" w:color="auto"/>
              <w:left w:val="single" w:sz="4" w:space="0" w:color="auto"/>
              <w:bottom w:val="single" w:sz="4" w:space="0" w:color="auto"/>
              <w:right w:val="single" w:sz="4" w:space="0" w:color="auto"/>
            </w:tcBorders>
            <w:shd w:val="clear" w:color="auto" w:fill="auto"/>
            <w:noWrap/>
            <w:vAlign w:val="center"/>
          </w:tcPr>
          <w:p>
            <w:pPr>
              <w:adjustRightInd w:val="0"/>
              <w:snapToGrid w:val="0"/>
              <w:spacing w:line="240" w:lineRule="auto"/>
              <w:jc w:val="center"/>
              <w:rPr>
                <w:sz w:val="21"/>
              </w:rPr>
            </w:pPr>
            <w:r>
              <w:rPr>
                <w:sz w:val="21"/>
              </w:rPr>
              <w:t>污水管网修复整改工程</w:t>
            </w:r>
          </w:p>
        </w:tc>
        <w:tc>
          <w:tcPr>
            <w:tcW w:w="2198" w:type="pct"/>
            <w:tcBorders>
              <w:top w:val="single" w:sz="4" w:space="0" w:color="auto"/>
              <w:left w:val="single" w:sz="4" w:space="0" w:color="auto"/>
              <w:bottom w:val="single" w:sz="4" w:space="0" w:color="auto"/>
              <w:right w:val="single" w:sz="4" w:space="0" w:color="auto"/>
            </w:tcBorders>
            <w:shd w:val="clear" w:color="auto" w:fill="auto"/>
            <w:noWrap/>
            <w:vAlign w:val="center"/>
          </w:tcPr>
          <w:p>
            <w:pPr>
              <w:adjustRightInd w:val="0"/>
              <w:snapToGrid w:val="0"/>
              <w:spacing w:line="240" w:lineRule="auto"/>
              <w:ind w:firstLine="420"/>
              <w:rPr>
                <w:sz w:val="21"/>
              </w:rPr>
            </w:pPr>
            <w:r>
              <w:rPr>
                <w:sz w:val="21"/>
              </w:rPr>
              <w:t>完成雨花台区雨水管网、城南污水收集系统（雨花经济开发区片区）管网、城东污水收集系统（雨花台区铁心桥片区）、雨花台区江心洲污水收集系统管网修复整改工程。</w:t>
            </w:r>
          </w:p>
        </w:tc>
        <w:tc>
          <w:tcPr>
            <w:tcW w:w="418" w:type="pct"/>
            <w:tcBorders>
              <w:top w:val="single" w:sz="4" w:space="0" w:color="auto"/>
              <w:left w:val="single" w:sz="4" w:space="0" w:color="auto"/>
              <w:bottom w:val="single" w:sz="4" w:space="0" w:color="auto"/>
              <w:right w:val="single" w:sz="4" w:space="0" w:color="auto"/>
            </w:tcBorders>
            <w:shd w:val="clear" w:color="auto" w:fill="auto"/>
            <w:noWrap/>
            <w:vAlign w:val="center"/>
          </w:tcPr>
          <w:p>
            <w:pPr>
              <w:adjustRightInd w:val="0"/>
              <w:snapToGrid w:val="0"/>
              <w:spacing w:line="240" w:lineRule="auto"/>
              <w:jc w:val="center"/>
              <w:rPr>
                <w:sz w:val="21"/>
              </w:rPr>
            </w:pPr>
            <w:r>
              <w:rPr>
                <w:sz w:val="21"/>
              </w:rPr>
              <w:t>2023-2025</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tcPr>
          <w:p>
            <w:pPr>
              <w:adjustRightInd w:val="0"/>
              <w:snapToGrid w:val="0"/>
              <w:spacing w:line="240" w:lineRule="auto"/>
              <w:jc w:val="center"/>
              <w:rPr>
                <w:sz w:val="21"/>
              </w:rPr>
            </w:pPr>
            <w:r>
              <w:rPr>
                <w:sz w:val="21"/>
              </w:rPr>
              <w:t>12000</w:t>
            </w:r>
          </w:p>
        </w:tc>
        <w:tc>
          <w:tcPr>
            <w:tcW w:w="703" w:type="pct"/>
            <w:tcBorders>
              <w:top w:val="single" w:sz="4" w:space="0" w:color="auto"/>
              <w:left w:val="single" w:sz="4" w:space="0" w:color="auto"/>
              <w:bottom w:val="single" w:sz="4" w:space="0" w:color="auto"/>
              <w:right w:val="single" w:sz="4" w:space="0" w:color="auto"/>
            </w:tcBorders>
            <w:shd w:val="clear" w:color="auto" w:fill="auto"/>
            <w:noWrap/>
            <w:vAlign w:val="center"/>
          </w:tcPr>
          <w:p>
            <w:pPr>
              <w:adjustRightInd w:val="0"/>
              <w:snapToGrid w:val="0"/>
              <w:spacing w:line="240" w:lineRule="auto"/>
              <w:jc w:val="center"/>
              <w:rPr>
                <w:sz w:val="21"/>
              </w:rPr>
            </w:pPr>
            <w:r>
              <w:rPr>
                <w:bCs/>
                <w:sz w:val="21"/>
              </w:rPr>
              <w:t>区水务局</w:t>
              <w:tab/>
              <w:t>、雨花台生态环境局、</w:t>
              <w:tab/>
              <w:t>各相关街道</w:t>
            </w:r>
          </w:p>
        </w:tc>
      </w:tr>
      <w:tr>
        <w:trPr>
          <w:trHeight w:val="340"/>
        </w:trPr>
        <w:tc>
          <w:tcPr>
            <w:tcW w:w="287" w:type="pct"/>
            <w:vMerge/>
            <w:tcBorders>
              <w:top w:val="single" w:sz="4" w:space="0" w:color="auto"/>
              <w:left w:val="single" w:sz="4" w:space="0" w:color="auto"/>
              <w:bottom w:val="single" w:sz="4" w:space="0" w:color="auto"/>
              <w:right w:val="single" w:sz="4" w:space="0" w:color="auto"/>
            </w:tcBorders>
            <w:shd w:val="clear" w:color="auto" w:fill="auto"/>
            <w:noWrap/>
            <w:vAlign w:val="center"/>
          </w:tcPr>
          <w:p/>
        </w:tc>
        <w:tc>
          <w:tcPr>
            <w:tcW w:w="173" w:type="pct"/>
            <w:tcBorders>
              <w:top w:val="single" w:sz="4" w:space="0" w:color="auto"/>
              <w:left w:val="single" w:sz="4" w:space="0" w:color="auto"/>
              <w:bottom w:val="single" w:sz="4" w:space="0" w:color="auto"/>
              <w:right w:val="single" w:sz="4" w:space="0" w:color="auto"/>
            </w:tcBorders>
            <w:shd w:val="clear" w:color="auto" w:fill="auto"/>
            <w:noWrap/>
            <w:vAlign w:val="center"/>
          </w:tcPr>
          <w:p>
            <w:pPr>
              <w:numPr>
                <w:ilvl w:val="0"/>
                <w:numId w:val="11"/>
              </w:numPr>
              <w:adjustRightInd w:val="0"/>
              <w:snapToGrid w:val="0"/>
              <w:spacing w:line="240" w:lineRule="auto"/>
              <w:ind w:left="0" w:firstLine="0"/>
              <w:jc w:val="center"/>
              <w:rPr>
                <w:sz w:val="21"/>
              </w:rPr>
            </w:pPr>
          </w:p>
        </w:tc>
        <w:tc>
          <w:tcPr>
            <w:tcW w:w="798" w:type="pct"/>
            <w:tcBorders>
              <w:top w:val="single" w:sz="4" w:space="0" w:color="auto"/>
              <w:left w:val="single" w:sz="4" w:space="0" w:color="auto"/>
              <w:bottom w:val="single" w:sz="4" w:space="0" w:color="auto"/>
              <w:right w:val="single" w:sz="4" w:space="0" w:color="auto"/>
            </w:tcBorders>
            <w:shd w:val="clear" w:color="auto" w:fill="auto"/>
            <w:noWrap/>
            <w:vAlign w:val="center"/>
          </w:tcPr>
          <w:p>
            <w:pPr>
              <w:adjustRightInd w:val="0"/>
              <w:snapToGrid w:val="0"/>
              <w:spacing w:line="240" w:lineRule="auto"/>
              <w:jc w:val="center"/>
              <w:rPr>
                <w:sz w:val="21"/>
              </w:rPr>
            </w:pPr>
            <w:r>
              <w:rPr>
                <w:sz w:val="21"/>
              </w:rPr>
              <w:t>船舶改造和管理工程</w:t>
            </w:r>
          </w:p>
        </w:tc>
        <w:tc>
          <w:tcPr>
            <w:tcW w:w="2198" w:type="pct"/>
            <w:tcBorders>
              <w:top w:val="single" w:sz="4" w:space="0" w:color="auto"/>
              <w:left w:val="single" w:sz="4" w:space="0" w:color="auto"/>
              <w:bottom w:val="single" w:sz="4" w:space="0" w:color="auto"/>
              <w:right w:val="single" w:sz="4" w:space="0" w:color="auto"/>
            </w:tcBorders>
            <w:shd w:val="clear" w:color="auto" w:fill="auto"/>
            <w:noWrap/>
            <w:vAlign w:val="center"/>
          </w:tcPr>
          <w:p>
            <w:pPr>
              <w:adjustRightInd w:val="0"/>
              <w:snapToGrid w:val="0"/>
              <w:spacing w:line="240" w:lineRule="auto"/>
              <w:ind w:firstLine="420"/>
              <w:rPr>
                <w:sz w:val="21"/>
              </w:rPr>
            </w:pPr>
            <w:r>
              <w:rPr>
                <w:sz w:val="21"/>
              </w:rPr>
              <w:t>400吨以下船舶污水处理工程改造；船舶配备油水分离器；三无船舶取缔，新建运营船舶安装AIS系统等。</w:t>
            </w:r>
          </w:p>
        </w:tc>
        <w:tc>
          <w:tcPr>
            <w:tcW w:w="418" w:type="pct"/>
            <w:tcBorders>
              <w:top w:val="single" w:sz="4" w:space="0" w:color="auto"/>
              <w:left w:val="single" w:sz="4" w:space="0" w:color="auto"/>
              <w:bottom w:val="single" w:sz="4" w:space="0" w:color="auto"/>
              <w:right w:val="single" w:sz="4" w:space="0" w:color="auto"/>
            </w:tcBorders>
            <w:shd w:val="clear" w:color="auto" w:fill="auto"/>
            <w:noWrap/>
            <w:vAlign w:val="center"/>
          </w:tcPr>
          <w:p>
            <w:pPr>
              <w:adjustRightInd w:val="0"/>
              <w:snapToGrid w:val="0"/>
              <w:spacing w:line="240" w:lineRule="auto"/>
              <w:jc w:val="center"/>
              <w:rPr>
                <w:sz w:val="21"/>
              </w:rPr>
            </w:pPr>
            <w:r>
              <w:rPr>
                <w:sz w:val="21"/>
              </w:rPr>
              <w:t>2023-2025</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tcPr>
          <w:p>
            <w:pPr>
              <w:adjustRightInd w:val="0"/>
              <w:snapToGrid w:val="0"/>
              <w:spacing w:line="240" w:lineRule="auto"/>
              <w:jc w:val="center"/>
              <w:rPr>
                <w:sz w:val="21"/>
              </w:rPr>
            </w:pPr>
            <w:r>
              <w:rPr>
                <w:sz w:val="21"/>
              </w:rPr>
              <w:t>400</w:t>
            </w:r>
          </w:p>
        </w:tc>
        <w:tc>
          <w:tcPr>
            <w:tcW w:w="703" w:type="pct"/>
            <w:tcBorders>
              <w:top w:val="single" w:sz="4" w:space="0" w:color="auto"/>
              <w:left w:val="single" w:sz="4" w:space="0" w:color="auto"/>
              <w:bottom w:val="single" w:sz="4" w:space="0" w:color="auto"/>
              <w:right w:val="single" w:sz="4" w:space="0" w:color="auto"/>
            </w:tcBorders>
            <w:shd w:val="clear" w:color="auto" w:fill="auto"/>
            <w:noWrap/>
            <w:vAlign w:val="center"/>
          </w:tcPr>
          <w:p>
            <w:pPr>
              <w:adjustRightInd w:val="0"/>
              <w:snapToGrid w:val="0"/>
              <w:spacing w:line="240" w:lineRule="auto"/>
              <w:jc w:val="center"/>
              <w:rPr>
                <w:sz w:val="21"/>
              </w:rPr>
            </w:pPr>
            <w:r>
              <w:rPr>
                <w:bCs/>
                <w:sz w:val="21"/>
              </w:rPr>
              <w:t>区交通运输局</w:t>
            </w:r>
          </w:p>
        </w:tc>
      </w:tr>
      <w:tr>
        <w:trPr>
          <w:trHeight w:val="340"/>
        </w:trPr>
        <w:tc>
          <w:tcPr>
            <w:tcW w:w="287" w:type="pct"/>
            <w:vMerge/>
            <w:tcBorders>
              <w:top w:val="single" w:sz="4" w:space="0" w:color="auto"/>
              <w:left w:val="single" w:sz="4" w:space="0" w:color="auto"/>
              <w:bottom w:val="single" w:sz="4" w:space="0" w:color="auto"/>
              <w:right w:val="single" w:sz="4" w:space="0" w:color="auto"/>
            </w:tcBorders>
            <w:shd w:val="clear" w:color="auto" w:fill="auto"/>
            <w:noWrap/>
            <w:vAlign w:val="center"/>
          </w:tcPr>
          <w:p/>
        </w:tc>
        <w:tc>
          <w:tcPr>
            <w:tcW w:w="173" w:type="pct"/>
            <w:tcBorders>
              <w:top w:val="single" w:sz="4" w:space="0" w:color="auto"/>
              <w:left w:val="single" w:sz="4" w:space="0" w:color="auto"/>
              <w:bottom w:val="single" w:sz="4" w:space="0" w:color="auto"/>
              <w:right w:val="single" w:sz="4" w:space="0" w:color="auto"/>
            </w:tcBorders>
            <w:shd w:val="clear" w:color="auto" w:fill="auto"/>
            <w:noWrap/>
            <w:vAlign w:val="center"/>
          </w:tcPr>
          <w:p>
            <w:pPr>
              <w:numPr>
                <w:ilvl w:val="0"/>
                <w:numId w:val="11"/>
              </w:numPr>
              <w:adjustRightInd w:val="0"/>
              <w:snapToGrid w:val="0"/>
              <w:spacing w:line="240" w:lineRule="auto"/>
              <w:ind w:left="0" w:firstLine="0"/>
              <w:jc w:val="center"/>
              <w:rPr>
                <w:sz w:val="21"/>
              </w:rPr>
            </w:pPr>
          </w:p>
        </w:tc>
        <w:tc>
          <w:tcPr>
            <w:tcW w:w="798" w:type="pct"/>
            <w:tcBorders>
              <w:top w:val="single" w:sz="4" w:space="0" w:color="auto"/>
              <w:left w:val="single" w:sz="4" w:space="0" w:color="auto"/>
              <w:bottom w:val="single" w:sz="4" w:space="0" w:color="auto"/>
              <w:right w:val="single" w:sz="4" w:space="0" w:color="auto"/>
            </w:tcBorders>
            <w:shd w:val="clear" w:color="auto" w:fill="auto"/>
            <w:noWrap/>
            <w:vAlign w:val="center"/>
          </w:tcPr>
          <w:p>
            <w:pPr>
              <w:adjustRightInd w:val="0"/>
              <w:snapToGrid w:val="0"/>
              <w:spacing w:line="240" w:lineRule="auto"/>
              <w:jc w:val="center"/>
              <w:rPr>
                <w:sz w:val="21"/>
              </w:rPr>
            </w:pPr>
            <w:r>
              <w:rPr>
                <w:sz w:val="21"/>
              </w:rPr>
              <w:t>长江入河排污口整治工程</w:t>
            </w:r>
          </w:p>
        </w:tc>
        <w:tc>
          <w:tcPr>
            <w:tcW w:w="2198" w:type="pct"/>
            <w:tcBorders>
              <w:top w:val="single" w:sz="4" w:space="0" w:color="auto"/>
              <w:left w:val="single" w:sz="4" w:space="0" w:color="auto"/>
              <w:bottom w:val="single" w:sz="4" w:space="0" w:color="auto"/>
              <w:right w:val="single" w:sz="4" w:space="0" w:color="auto"/>
            </w:tcBorders>
            <w:shd w:val="clear" w:color="auto" w:fill="auto"/>
            <w:noWrap/>
            <w:vAlign w:val="center"/>
          </w:tcPr>
          <w:p>
            <w:pPr>
              <w:adjustRightInd w:val="0"/>
              <w:snapToGrid w:val="0"/>
              <w:spacing w:line="240" w:lineRule="auto"/>
              <w:ind w:firstLine="420"/>
              <w:rPr>
                <w:sz w:val="21"/>
              </w:rPr>
            </w:pPr>
            <w:r>
              <w:rPr>
                <w:sz w:val="21"/>
              </w:rPr>
              <w:t>制定《雨花台区长江入河排污口分类整治工作方案》，有序推进全区长江入河排污口“一口一策”规范化整治工作。</w:t>
            </w:r>
          </w:p>
        </w:tc>
        <w:tc>
          <w:tcPr>
            <w:tcW w:w="418" w:type="pct"/>
            <w:tcBorders>
              <w:top w:val="single" w:sz="4" w:space="0" w:color="auto"/>
              <w:left w:val="single" w:sz="4" w:space="0" w:color="auto"/>
              <w:bottom w:val="single" w:sz="4" w:space="0" w:color="auto"/>
              <w:right w:val="single" w:sz="4" w:space="0" w:color="auto"/>
            </w:tcBorders>
            <w:shd w:val="clear" w:color="auto" w:fill="auto"/>
            <w:noWrap/>
            <w:vAlign w:val="center"/>
          </w:tcPr>
          <w:p>
            <w:pPr>
              <w:adjustRightInd w:val="0"/>
              <w:snapToGrid w:val="0"/>
              <w:spacing w:line="240" w:lineRule="auto"/>
              <w:jc w:val="center"/>
              <w:rPr>
                <w:sz w:val="21"/>
              </w:rPr>
            </w:pPr>
            <w:r>
              <w:rPr>
                <w:sz w:val="21"/>
              </w:rPr>
              <w:t>2023-2025</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tcPr>
          <w:p>
            <w:pPr>
              <w:adjustRightInd w:val="0"/>
              <w:snapToGrid w:val="0"/>
              <w:spacing w:line="240" w:lineRule="auto"/>
              <w:jc w:val="center"/>
              <w:rPr>
                <w:sz w:val="21"/>
              </w:rPr>
            </w:pPr>
            <w:r>
              <w:rPr>
                <w:sz w:val="21"/>
              </w:rPr>
              <w:t>2000</w:t>
            </w:r>
          </w:p>
        </w:tc>
        <w:tc>
          <w:tcPr>
            <w:tcW w:w="703" w:type="pct"/>
            <w:tcBorders>
              <w:top w:val="single" w:sz="4" w:space="0" w:color="auto"/>
              <w:left w:val="single" w:sz="4" w:space="0" w:color="auto"/>
              <w:bottom w:val="single" w:sz="4" w:space="0" w:color="auto"/>
              <w:right w:val="single" w:sz="4" w:space="0" w:color="auto"/>
            </w:tcBorders>
            <w:shd w:val="clear" w:color="auto" w:fill="auto"/>
            <w:noWrap/>
            <w:vAlign w:val="center"/>
          </w:tcPr>
          <w:p>
            <w:pPr>
              <w:adjustRightInd w:val="0"/>
              <w:snapToGrid w:val="0"/>
              <w:spacing w:line="240" w:lineRule="auto"/>
              <w:jc w:val="center"/>
              <w:rPr>
                <w:sz w:val="21"/>
              </w:rPr>
            </w:pPr>
            <w:r>
              <w:rPr>
                <w:bCs/>
                <w:sz w:val="21"/>
              </w:rPr>
              <w:t>雨花台生态环境局、</w:t>
              <w:tab/>
              <w:tab/>
              <w:t>区水务局、区农业农村局、各相关街道、雨花经济开发区</w:t>
            </w:r>
          </w:p>
        </w:tc>
      </w:tr>
      <w:tr>
        <w:trPr>
          <w:trHeight w:val="340"/>
        </w:trPr>
        <w:tc>
          <w:tcPr>
            <w:tcW w:w="287" w:type="pct"/>
            <w:vMerge/>
            <w:tcBorders>
              <w:top w:val="single" w:sz="4" w:space="0" w:color="auto"/>
              <w:left w:val="single" w:sz="4" w:space="0" w:color="auto"/>
              <w:bottom w:val="single" w:sz="4" w:space="0" w:color="auto"/>
              <w:right w:val="single" w:sz="4" w:space="0" w:color="auto"/>
            </w:tcBorders>
            <w:shd w:val="clear" w:color="auto" w:fill="auto"/>
            <w:noWrap/>
            <w:vAlign w:val="center"/>
          </w:tcPr>
          <w:p/>
        </w:tc>
        <w:tc>
          <w:tcPr>
            <w:tcW w:w="173" w:type="pct"/>
            <w:tcBorders>
              <w:top w:val="single" w:sz="4" w:space="0" w:color="auto"/>
              <w:left w:val="single" w:sz="4" w:space="0" w:color="auto"/>
              <w:bottom w:val="single" w:sz="4" w:space="0" w:color="auto"/>
              <w:right w:val="single" w:sz="4" w:space="0" w:color="auto"/>
            </w:tcBorders>
            <w:shd w:val="clear" w:color="auto" w:fill="auto"/>
            <w:noWrap/>
            <w:vAlign w:val="center"/>
          </w:tcPr>
          <w:p>
            <w:pPr>
              <w:numPr>
                <w:ilvl w:val="0"/>
                <w:numId w:val="11"/>
              </w:numPr>
              <w:adjustRightInd w:val="0"/>
              <w:snapToGrid w:val="0"/>
              <w:spacing w:line="240" w:lineRule="auto"/>
              <w:ind w:left="0" w:firstLine="0"/>
              <w:jc w:val="center"/>
              <w:rPr>
                <w:sz w:val="21"/>
              </w:rPr>
            </w:pPr>
          </w:p>
        </w:tc>
        <w:tc>
          <w:tcPr>
            <w:tcW w:w="798" w:type="pct"/>
            <w:tcBorders>
              <w:top w:val="single" w:sz="4" w:space="0" w:color="auto"/>
              <w:left w:val="single" w:sz="4" w:space="0" w:color="auto"/>
              <w:bottom w:val="single" w:sz="4" w:space="0" w:color="auto"/>
              <w:right w:val="single" w:sz="4" w:space="0" w:color="auto"/>
            </w:tcBorders>
            <w:shd w:val="clear" w:color="auto" w:fill="auto"/>
            <w:noWrap/>
            <w:vAlign w:val="center"/>
          </w:tcPr>
          <w:p>
            <w:pPr>
              <w:adjustRightInd w:val="0"/>
              <w:snapToGrid w:val="0"/>
              <w:spacing w:line="240" w:lineRule="auto"/>
              <w:jc w:val="center"/>
              <w:rPr>
                <w:sz w:val="21"/>
              </w:rPr>
            </w:pPr>
            <w:r>
              <w:rPr>
                <w:sz w:val="21"/>
              </w:rPr>
              <w:t>长江生态环境问题整治工程</w:t>
            </w:r>
          </w:p>
        </w:tc>
        <w:tc>
          <w:tcPr>
            <w:tcW w:w="2198" w:type="pct"/>
            <w:tcBorders>
              <w:top w:val="single" w:sz="4" w:space="0" w:color="auto"/>
              <w:left w:val="single" w:sz="4" w:space="0" w:color="auto"/>
              <w:bottom w:val="single" w:sz="4" w:space="0" w:color="auto"/>
              <w:right w:val="single" w:sz="4" w:space="0" w:color="auto"/>
            </w:tcBorders>
            <w:shd w:val="clear" w:color="auto" w:fill="auto"/>
            <w:noWrap/>
            <w:vAlign w:val="center"/>
          </w:tcPr>
          <w:p>
            <w:pPr>
              <w:adjustRightInd w:val="0"/>
              <w:snapToGrid w:val="0"/>
              <w:spacing w:line="240" w:lineRule="auto"/>
              <w:ind w:firstLine="420"/>
              <w:rPr>
                <w:sz w:val="21"/>
              </w:rPr>
            </w:pPr>
            <w:r>
              <w:rPr>
                <w:sz w:val="21"/>
              </w:rPr>
              <w:t>常态化开展长江生态环境问题自查自纠和“回头看”，全面排查关联性、衍生性和其他生态环境问题及风险隐患，开展问题清理整治。</w:t>
            </w:r>
          </w:p>
        </w:tc>
        <w:tc>
          <w:tcPr>
            <w:tcW w:w="418" w:type="pct"/>
            <w:tcBorders>
              <w:top w:val="single" w:sz="4" w:space="0" w:color="auto"/>
              <w:left w:val="single" w:sz="4" w:space="0" w:color="auto"/>
              <w:bottom w:val="single" w:sz="4" w:space="0" w:color="auto"/>
              <w:right w:val="single" w:sz="4" w:space="0" w:color="auto"/>
            </w:tcBorders>
            <w:shd w:val="clear" w:color="auto" w:fill="auto"/>
            <w:noWrap/>
            <w:vAlign w:val="center"/>
          </w:tcPr>
          <w:p>
            <w:pPr>
              <w:adjustRightInd w:val="0"/>
              <w:snapToGrid w:val="0"/>
              <w:spacing w:line="240" w:lineRule="auto"/>
              <w:jc w:val="center"/>
              <w:rPr>
                <w:sz w:val="21"/>
              </w:rPr>
            </w:pPr>
            <w:r>
              <w:rPr>
                <w:sz w:val="21"/>
              </w:rPr>
              <w:t>2023-2030</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tcPr>
          <w:p>
            <w:pPr>
              <w:adjustRightInd w:val="0"/>
              <w:snapToGrid w:val="0"/>
              <w:spacing w:line="240" w:lineRule="auto"/>
              <w:jc w:val="center"/>
              <w:rPr>
                <w:sz w:val="21"/>
              </w:rPr>
            </w:pPr>
            <w:r>
              <w:rPr>
                <w:sz w:val="21"/>
              </w:rPr>
              <w:t>/</w:t>
            </w:r>
          </w:p>
        </w:tc>
        <w:tc>
          <w:tcPr>
            <w:tcW w:w="703" w:type="pct"/>
            <w:tcBorders>
              <w:top w:val="single" w:sz="4" w:space="0" w:color="auto"/>
              <w:left w:val="single" w:sz="4" w:space="0" w:color="auto"/>
              <w:bottom w:val="single" w:sz="4" w:space="0" w:color="auto"/>
              <w:right w:val="single" w:sz="4" w:space="0" w:color="auto"/>
            </w:tcBorders>
            <w:shd w:val="clear" w:color="auto" w:fill="auto"/>
            <w:noWrap/>
            <w:vAlign w:val="center"/>
          </w:tcPr>
          <w:p>
            <w:pPr>
              <w:adjustRightInd w:val="0"/>
              <w:snapToGrid w:val="0"/>
              <w:spacing w:line="240" w:lineRule="auto"/>
              <w:jc w:val="center"/>
              <w:rPr>
                <w:sz w:val="21"/>
              </w:rPr>
            </w:pPr>
            <w:r>
              <w:rPr>
                <w:bCs/>
                <w:sz w:val="21"/>
              </w:rPr>
              <w:t>雨花台生态环境局、</w:t>
              <w:tab/>
              <w:t>区水务局、区交通运输局、</w:t>
              <w:tab/>
              <w:t>梅山街道、板桥街道、雨花经济开发区</w:t>
            </w:r>
          </w:p>
        </w:tc>
      </w:tr>
      <w:tr>
        <w:trPr>
          <w:trHeight w:val="340"/>
        </w:trPr>
        <w:tc>
          <w:tcPr>
            <w:tcW w:w="287" w:type="pct"/>
            <w:vMerge/>
            <w:tcBorders>
              <w:top w:val="single" w:sz="4" w:space="0" w:color="auto"/>
              <w:left w:val="single" w:sz="4" w:space="0" w:color="auto"/>
              <w:bottom w:val="single" w:sz="4" w:space="0" w:color="auto"/>
              <w:right w:val="single" w:sz="4" w:space="0" w:color="auto"/>
            </w:tcBorders>
            <w:shd w:val="clear" w:color="auto" w:fill="auto"/>
            <w:noWrap/>
            <w:vAlign w:val="center"/>
          </w:tcPr>
          <w:p/>
        </w:tc>
        <w:tc>
          <w:tcPr>
            <w:tcW w:w="173" w:type="pct"/>
            <w:tcBorders>
              <w:top w:val="single" w:sz="4" w:space="0" w:color="auto"/>
              <w:left w:val="single" w:sz="4" w:space="0" w:color="auto"/>
              <w:bottom w:val="single" w:sz="4" w:space="0" w:color="auto"/>
              <w:right w:val="single" w:sz="4" w:space="0" w:color="auto"/>
            </w:tcBorders>
            <w:shd w:val="clear" w:color="auto" w:fill="auto"/>
            <w:noWrap/>
            <w:vAlign w:val="center"/>
          </w:tcPr>
          <w:p>
            <w:pPr>
              <w:numPr>
                <w:ilvl w:val="0"/>
                <w:numId w:val="11"/>
              </w:numPr>
              <w:adjustRightInd w:val="0"/>
              <w:snapToGrid w:val="0"/>
              <w:spacing w:line="240" w:lineRule="auto"/>
              <w:ind w:left="0" w:firstLine="0"/>
              <w:jc w:val="center"/>
              <w:rPr>
                <w:sz w:val="21"/>
              </w:rPr>
            </w:pPr>
          </w:p>
        </w:tc>
        <w:tc>
          <w:tcPr>
            <w:tcW w:w="798" w:type="pct"/>
            <w:tcBorders>
              <w:top w:val="single" w:sz="4" w:space="0" w:color="auto"/>
              <w:left w:val="single" w:sz="4" w:space="0" w:color="auto"/>
              <w:bottom w:val="single" w:sz="4" w:space="0" w:color="auto"/>
              <w:right w:val="single" w:sz="4" w:space="0" w:color="auto"/>
            </w:tcBorders>
            <w:shd w:val="clear" w:color="auto" w:fill="auto"/>
            <w:noWrap/>
            <w:vAlign w:val="center"/>
          </w:tcPr>
          <w:p>
            <w:pPr>
              <w:adjustRightInd w:val="0"/>
              <w:snapToGrid w:val="0"/>
              <w:spacing w:line="240" w:lineRule="auto"/>
              <w:jc w:val="center"/>
              <w:rPr>
                <w:sz w:val="21"/>
              </w:rPr>
            </w:pPr>
            <w:r>
              <w:rPr>
                <w:sz w:val="21"/>
              </w:rPr>
              <w:t>支流水质监测预警工程</w:t>
            </w:r>
          </w:p>
        </w:tc>
        <w:tc>
          <w:tcPr>
            <w:tcW w:w="2198" w:type="pct"/>
            <w:tcBorders>
              <w:top w:val="single" w:sz="4" w:space="0" w:color="auto"/>
              <w:left w:val="single" w:sz="4" w:space="0" w:color="auto"/>
              <w:bottom w:val="single" w:sz="4" w:space="0" w:color="auto"/>
              <w:right w:val="single" w:sz="4" w:space="0" w:color="auto"/>
            </w:tcBorders>
            <w:shd w:val="clear" w:color="auto" w:fill="auto"/>
            <w:noWrap/>
            <w:vAlign w:val="center"/>
          </w:tcPr>
          <w:p>
            <w:pPr>
              <w:adjustRightInd w:val="0"/>
              <w:snapToGrid w:val="0"/>
              <w:spacing w:line="240" w:lineRule="auto"/>
              <w:ind w:firstLine="420"/>
              <w:rPr>
                <w:sz w:val="21"/>
              </w:rPr>
            </w:pPr>
            <w:r>
              <w:rPr>
                <w:sz w:val="21"/>
              </w:rPr>
              <w:t>在板桥河、工农河、秦淮新河、南南河各支流汇入口设置监测点位、加强水质监测，监测频率为2月/次。</w:t>
            </w:r>
          </w:p>
        </w:tc>
        <w:tc>
          <w:tcPr>
            <w:tcW w:w="418" w:type="pct"/>
            <w:tcBorders>
              <w:top w:val="single" w:sz="4" w:space="0" w:color="auto"/>
              <w:left w:val="single" w:sz="4" w:space="0" w:color="auto"/>
              <w:bottom w:val="single" w:sz="4" w:space="0" w:color="auto"/>
              <w:right w:val="single" w:sz="4" w:space="0" w:color="auto"/>
            </w:tcBorders>
            <w:shd w:val="clear" w:color="auto" w:fill="auto"/>
            <w:noWrap/>
            <w:vAlign w:val="center"/>
          </w:tcPr>
          <w:p>
            <w:pPr>
              <w:adjustRightInd w:val="0"/>
              <w:snapToGrid w:val="0"/>
              <w:spacing w:line="240" w:lineRule="auto"/>
              <w:jc w:val="center"/>
              <w:rPr>
                <w:sz w:val="21"/>
              </w:rPr>
            </w:pPr>
            <w:r>
              <w:rPr>
                <w:sz w:val="21"/>
              </w:rPr>
              <w:t>2023-2025</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tcPr>
          <w:p>
            <w:pPr>
              <w:adjustRightInd w:val="0"/>
              <w:snapToGrid w:val="0"/>
              <w:spacing w:line="240" w:lineRule="auto"/>
              <w:jc w:val="center"/>
              <w:rPr>
                <w:sz w:val="21"/>
              </w:rPr>
            </w:pPr>
            <w:r>
              <w:rPr>
                <w:sz w:val="21"/>
              </w:rPr>
              <w:t>600</w:t>
            </w:r>
          </w:p>
        </w:tc>
        <w:tc>
          <w:tcPr>
            <w:tcW w:w="703" w:type="pct"/>
            <w:tcBorders>
              <w:top w:val="single" w:sz="4" w:space="0" w:color="auto"/>
              <w:left w:val="single" w:sz="4" w:space="0" w:color="auto"/>
              <w:bottom w:val="single" w:sz="4" w:space="0" w:color="auto"/>
              <w:right w:val="single" w:sz="4" w:space="0" w:color="auto"/>
            </w:tcBorders>
            <w:shd w:val="clear" w:color="auto" w:fill="auto"/>
            <w:noWrap/>
            <w:vAlign w:val="center"/>
          </w:tcPr>
          <w:p>
            <w:pPr>
              <w:adjustRightInd w:val="0"/>
              <w:snapToGrid w:val="0"/>
              <w:spacing w:line="240" w:lineRule="auto"/>
              <w:jc w:val="center"/>
              <w:rPr>
                <w:sz w:val="21"/>
              </w:rPr>
            </w:pPr>
            <w:r>
              <w:rPr>
                <w:bCs/>
                <w:sz w:val="21"/>
              </w:rPr>
              <w:t>雨花台生态环境局</w:t>
            </w:r>
          </w:p>
        </w:tc>
      </w:tr>
      <w:tr>
        <w:trPr>
          <w:trHeight w:val="340"/>
        </w:trPr>
        <w:tc>
          <w:tcPr>
            <w:tcW w:w="287" w:type="pct"/>
            <w:vMerge/>
            <w:tcBorders>
              <w:top w:val="single" w:sz="4" w:space="0" w:color="auto"/>
              <w:left w:val="single" w:sz="4" w:space="0" w:color="auto"/>
              <w:bottom w:val="single" w:sz="4" w:space="0" w:color="auto"/>
              <w:right w:val="single" w:sz="4" w:space="0" w:color="auto"/>
            </w:tcBorders>
            <w:shd w:val="clear" w:color="auto" w:fill="auto"/>
            <w:noWrap/>
            <w:vAlign w:val="center"/>
          </w:tcPr>
          <w:p/>
        </w:tc>
        <w:tc>
          <w:tcPr>
            <w:tcW w:w="173" w:type="pct"/>
            <w:tcBorders>
              <w:top w:val="single" w:sz="4" w:space="0" w:color="auto"/>
              <w:left w:val="single" w:sz="4" w:space="0" w:color="auto"/>
              <w:bottom w:val="single" w:sz="4" w:space="0" w:color="auto"/>
              <w:right w:val="single" w:sz="4" w:space="0" w:color="auto"/>
            </w:tcBorders>
            <w:shd w:val="clear" w:color="auto" w:fill="auto"/>
            <w:noWrap/>
            <w:vAlign w:val="center"/>
          </w:tcPr>
          <w:p>
            <w:pPr>
              <w:numPr>
                <w:ilvl w:val="0"/>
                <w:numId w:val="11"/>
              </w:numPr>
              <w:adjustRightInd w:val="0"/>
              <w:snapToGrid w:val="0"/>
              <w:spacing w:line="240" w:lineRule="auto"/>
              <w:ind w:left="0" w:firstLine="0"/>
              <w:jc w:val="center"/>
              <w:rPr>
                <w:sz w:val="21"/>
              </w:rPr>
            </w:pPr>
          </w:p>
        </w:tc>
        <w:tc>
          <w:tcPr>
            <w:tcW w:w="798" w:type="pct"/>
            <w:tcBorders>
              <w:top w:val="single" w:sz="4" w:space="0" w:color="auto"/>
              <w:left w:val="single" w:sz="4" w:space="0" w:color="auto"/>
              <w:bottom w:val="single" w:sz="4" w:space="0" w:color="auto"/>
              <w:right w:val="single" w:sz="4" w:space="0" w:color="auto"/>
            </w:tcBorders>
            <w:shd w:val="clear" w:color="auto" w:fill="auto"/>
            <w:noWrap/>
            <w:vAlign w:val="center"/>
          </w:tcPr>
          <w:p>
            <w:pPr>
              <w:adjustRightInd w:val="0"/>
              <w:snapToGrid w:val="0"/>
              <w:spacing w:line="240" w:lineRule="auto"/>
              <w:jc w:val="center"/>
              <w:rPr>
                <w:sz w:val="21"/>
              </w:rPr>
            </w:pPr>
            <w:r>
              <w:rPr>
                <w:sz w:val="21"/>
              </w:rPr>
              <w:t>河道生态修复工程</w:t>
            </w:r>
          </w:p>
        </w:tc>
        <w:tc>
          <w:tcPr>
            <w:tcW w:w="2198" w:type="pct"/>
            <w:tcBorders>
              <w:top w:val="single" w:sz="4" w:space="0" w:color="auto"/>
              <w:left w:val="single" w:sz="4" w:space="0" w:color="auto"/>
              <w:bottom w:val="single" w:sz="4" w:space="0" w:color="auto"/>
              <w:right w:val="single" w:sz="4" w:space="0" w:color="auto"/>
            </w:tcBorders>
            <w:shd w:val="clear" w:color="auto" w:fill="auto"/>
            <w:noWrap/>
            <w:vAlign w:val="center"/>
          </w:tcPr>
          <w:p>
            <w:pPr>
              <w:adjustRightInd w:val="0"/>
              <w:snapToGrid w:val="0"/>
              <w:spacing w:line="240" w:lineRule="auto"/>
              <w:ind w:firstLine="420"/>
              <w:rPr>
                <w:sz w:val="21"/>
              </w:rPr>
            </w:pPr>
            <w:r>
              <w:rPr>
                <w:sz w:val="21"/>
              </w:rPr>
              <w:t>进行板桥河沿线毁损岸坡恢复，岸坡绿化2.6km，按现状上下游自然岸坡结构恢复宁马高速处破损岸坡；推进工农河河流生态廊道建设，恢复水生植物，完成整治长度1.5km；进行南南河水生态环境修复，打捞过度繁殖的水生植物，进行水体生态净化，强化工程后期运维管理，河道水生态修复长度0.8km。</w:t>
            </w:r>
          </w:p>
        </w:tc>
        <w:tc>
          <w:tcPr>
            <w:tcW w:w="418" w:type="pct"/>
            <w:tcBorders>
              <w:top w:val="single" w:sz="4" w:space="0" w:color="auto"/>
              <w:left w:val="single" w:sz="4" w:space="0" w:color="auto"/>
              <w:bottom w:val="single" w:sz="4" w:space="0" w:color="auto"/>
              <w:right w:val="single" w:sz="4" w:space="0" w:color="auto"/>
            </w:tcBorders>
            <w:shd w:val="clear" w:color="auto" w:fill="auto"/>
            <w:noWrap/>
            <w:vAlign w:val="center"/>
          </w:tcPr>
          <w:p>
            <w:pPr>
              <w:adjustRightInd w:val="0"/>
              <w:snapToGrid w:val="0"/>
              <w:spacing w:line="240" w:lineRule="auto"/>
              <w:jc w:val="center"/>
              <w:rPr>
                <w:sz w:val="21"/>
              </w:rPr>
            </w:pPr>
            <w:r>
              <w:rPr>
                <w:sz w:val="21"/>
              </w:rPr>
              <w:t>2023-2025</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tcPr>
          <w:p>
            <w:pPr>
              <w:adjustRightInd w:val="0"/>
              <w:snapToGrid w:val="0"/>
              <w:spacing w:line="240" w:lineRule="auto"/>
              <w:jc w:val="center"/>
              <w:rPr>
                <w:sz w:val="21"/>
              </w:rPr>
            </w:pPr>
            <w:r>
              <w:rPr>
                <w:sz w:val="21"/>
              </w:rPr>
              <w:t>3200</w:t>
            </w:r>
          </w:p>
        </w:tc>
        <w:tc>
          <w:tcPr>
            <w:tcW w:w="703" w:type="pct"/>
            <w:tcBorders>
              <w:top w:val="single" w:sz="4" w:space="0" w:color="auto"/>
              <w:left w:val="single" w:sz="4" w:space="0" w:color="auto"/>
              <w:bottom w:val="single" w:sz="4" w:space="0" w:color="auto"/>
              <w:right w:val="single" w:sz="4" w:space="0" w:color="auto"/>
            </w:tcBorders>
            <w:shd w:val="clear" w:color="auto" w:fill="auto"/>
            <w:noWrap/>
            <w:vAlign w:val="center"/>
          </w:tcPr>
          <w:p>
            <w:pPr>
              <w:adjustRightInd w:val="0"/>
              <w:snapToGrid w:val="0"/>
              <w:spacing w:line="240" w:lineRule="auto"/>
              <w:jc w:val="center"/>
              <w:rPr>
                <w:rFonts w:eastAsia="仿宋"/>
                <w:sz w:val="21"/>
              </w:rPr>
            </w:pPr>
            <w:r>
              <w:rPr>
                <w:sz w:val="21"/>
              </w:rPr>
              <w:t>区水务局、西善桥街道、板桥街道、古雄街道、雨花经济开发区</w:t>
            </w:r>
          </w:p>
        </w:tc>
      </w:tr>
      <w:tr>
        <w:trPr>
          <w:trHeight w:val="340"/>
        </w:trPr>
        <w:tc>
          <w:tcPr>
            <w:tcW w:w="287" w:type="pct"/>
            <w:vMerge/>
            <w:tcBorders>
              <w:top w:val="single" w:sz="4" w:space="0" w:color="auto"/>
              <w:left w:val="single" w:sz="4" w:space="0" w:color="auto"/>
              <w:bottom w:val="single" w:sz="4" w:space="0" w:color="auto"/>
              <w:right w:val="single" w:sz="4" w:space="0" w:color="auto"/>
            </w:tcBorders>
            <w:shd w:val="clear" w:color="auto" w:fill="auto"/>
            <w:noWrap/>
            <w:vAlign w:val="center"/>
          </w:tcPr>
          <w:p/>
        </w:tc>
        <w:tc>
          <w:tcPr>
            <w:tcW w:w="173" w:type="pct"/>
            <w:tcBorders>
              <w:top w:val="single" w:sz="4" w:space="0" w:color="auto"/>
              <w:left w:val="single" w:sz="4" w:space="0" w:color="auto"/>
              <w:bottom w:val="single" w:sz="4" w:space="0" w:color="auto"/>
              <w:right w:val="single" w:sz="4" w:space="0" w:color="auto"/>
            </w:tcBorders>
            <w:shd w:val="clear" w:color="auto" w:fill="auto"/>
            <w:noWrap/>
            <w:vAlign w:val="center"/>
          </w:tcPr>
          <w:p>
            <w:pPr>
              <w:numPr>
                <w:ilvl w:val="0"/>
                <w:numId w:val="11"/>
              </w:numPr>
              <w:adjustRightInd w:val="0"/>
              <w:snapToGrid w:val="0"/>
              <w:spacing w:line="240" w:lineRule="auto"/>
              <w:ind w:left="0" w:firstLine="0"/>
              <w:jc w:val="center"/>
              <w:rPr>
                <w:sz w:val="21"/>
              </w:rPr>
            </w:pPr>
          </w:p>
        </w:tc>
        <w:tc>
          <w:tcPr>
            <w:tcW w:w="798" w:type="pct"/>
            <w:tcBorders>
              <w:top w:val="single" w:sz="4" w:space="0" w:color="auto"/>
              <w:left w:val="single" w:sz="4" w:space="0" w:color="auto"/>
              <w:bottom w:val="single" w:sz="4" w:space="0" w:color="auto"/>
              <w:right w:val="single" w:sz="4" w:space="0" w:color="auto"/>
            </w:tcBorders>
            <w:shd w:val="clear" w:color="auto" w:fill="auto"/>
            <w:noWrap/>
            <w:vAlign w:val="center"/>
          </w:tcPr>
          <w:p>
            <w:pPr>
              <w:adjustRightInd w:val="0"/>
              <w:snapToGrid w:val="0"/>
              <w:spacing w:line="240" w:lineRule="auto"/>
              <w:jc w:val="center"/>
              <w:rPr>
                <w:sz w:val="21"/>
              </w:rPr>
            </w:pPr>
            <w:r>
              <w:rPr>
                <w:sz w:val="21"/>
              </w:rPr>
              <w:t>农业面源污染严控工程</w:t>
            </w:r>
          </w:p>
        </w:tc>
        <w:tc>
          <w:tcPr>
            <w:tcW w:w="2198" w:type="pct"/>
            <w:tcBorders>
              <w:top w:val="single" w:sz="4" w:space="0" w:color="auto"/>
              <w:left w:val="single" w:sz="4" w:space="0" w:color="auto"/>
              <w:bottom w:val="single" w:sz="4" w:space="0" w:color="auto"/>
              <w:right w:val="single" w:sz="4" w:space="0" w:color="auto"/>
            </w:tcBorders>
            <w:shd w:val="clear" w:color="auto" w:fill="auto"/>
            <w:noWrap/>
            <w:vAlign w:val="center"/>
          </w:tcPr>
          <w:p>
            <w:pPr>
              <w:adjustRightInd w:val="0"/>
              <w:snapToGrid w:val="0"/>
              <w:spacing w:line="240" w:lineRule="auto"/>
              <w:ind w:firstLine="420"/>
              <w:rPr>
                <w:sz w:val="21"/>
              </w:rPr>
            </w:pPr>
            <w:r>
              <w:rPr>
                <w:sz w:val="21"/>
              </w:rPr>
              <w:t>以板桥街道为重点，积极推进化肥与化学农药减量增效，确保沿江5公里化肥、农药使用量持续减少。</w:t>
            </w:r>
          </w:p>
        </w:tc>
        <w:tc>
          <w:tcPr>
            <w:tcW w:w="418" w:type="pct"/>
            <w:tcBorders>
              <w:top w:val="single" w:sz="4" w:space="0" w:color="auto"/>
              <w:left w:val="single" w:sz="4" w:space="0" w:color="auto"/>
              <w:bottom w:val="single" w:sz="4" w:space="0" w:color="auto"/>
              <w:right w:val="single" w:sz="4" w:space="0" w:color="auto"/>
            </w:tcBorders>
            <w:shd w:val="clear" w:color="auto" w:fill="auto"/>
            <w:noWrap/>
            <w:vAlign w:val="center"/>
          </w:tcPr>
          <w:p>
            <w:pPr>
              <w:adjustRightInd w:val="0"/>
              <w:snapToGrid w:val="0"/>
              <w:spacing w:line="240" w:lineRule="auto"/>
              <w:jc w:val="center"/>
              <w:rPr>
                <w:sz w:val="21"/>
              </w:rPr>
            </w:pPr>
            <w:r>
              <w:rPr>
                <w:sz w:val="21"/>
              </w:rPr>
              <w:t>2023-2025</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tcPr>
          <w:p>
            <w:pPr>
              <w:adjustRightInd w:val="0"/>
              <w:snapToGrid w:val="0"/>
              <w:spacing w:line="240" w:lineRule="auto"/>
              <w:jc w:val="center"/>
              <w:rPr>
                <w:sz w:val="21"/>
              </w:rPr>
            </w:pPr>
            <w:r>
              <w:rPr>
                <w:sz w:val="21"/>
              </w:rPr>
              <w:t>30</w:t>
            </w:r>
          </w:p>
        </w:tc>
        <w:tc>
          <w:tcPr>
            <w:tcW w:w="703" w:type="pct"/>
            <w:tcBorders>
              <w:top w:val="single" w:sz="4" w:space="0" w:color="auto"/>
              <w:left w:val="single" w:sz="4" w:space="0" w:color="auto"/>
              <w:bottom w:val="single" w:sz="4" w:space="0" w:color="auto"/>
              <w:right w:val="single" w:sz="4" w:space="0" w:color="auto"/>
            </w:tcBorders>
            <w:shd w:val="clear" w:color="auto" w:fill="auto"/>
            <w:noWrap/>
            <w:vAlign w:val="center"/>
          </w:tcPr>
          <w:p>
            <w:pPr>
              <w:adjustRightInd w:val="0"/>
              <w:snapToGrid w:val="0"/>
              <w:spacing w:line="240" w:lineRule="auto"/>
              <w:jc w:val="center"/>
              <w:rPr>
                <w:sz w:val="21"/>
              </w:rPr>
            </w:pPr>
            <w:r>
              <w:rPr>
                <w:bCs/>
                <w:sz w:val="21"/>
              </w:rPr>
              <w:t>区农业农村局</w:t>
              <w:tab/>
              <w:t>、雨花台生态环境局</w:t>
              <w:tab/>
              <w:t>、板桥街道</w:t>
            </w:r>
          </w:p>
        </w:tc>
      </w:tr>
      <w:tr>
        <w:trPr>
          <w:trHeight w:val="340"/>
        </w:trPr>
        <w:tc>
          <w:tcPr>
            <w:tcW w:w="287" w:type="pct"/>
            <w:vMerge/>
            <w:tcBorders>
              <w:top w:val="single" w:sz="4" w:space="0" w:color="auto"/>
              <w:left w:val="single" w:sz="4" w:space="0" w:color="auto"/>
              <w:bottom w:val="single" w:sz="4" w:space="0" w:color="auto"/>
              <w:right w:val="single" w:sz="4" w:space="0" w:color="auto"/>
            </w:tcBorders>
            <w:shd w:val="clear" w:color="auto" w:fill="auto"/>
            <w:noWrap/>
            <w:vAlign w:val="center"/>
          </w:tcPr>
          <w:p/>
        </w:tc>
        <w:tc>
          <w:tcPr>
            <w:tcW w:w="173" w:type="pct"/>
            <w:tcBorders>
              <w:top w:val="single" w:sz="4" w:space="0" w:color="auto"/>
              <w:left w:val="single" w:sz="4" w:space="0" w:color="auto"/>
              <w:bottom w:val="single" w:sz="4" w:space="0" w:color="auto"/>
              <w:right w:val="single" w:sz="4" w:space="0" w:color="auto"/>
            </w:tcBorders>
            <w:shd w:val="clear" w:color="auto" w:fill="auto"/>
            <w:noWrap/>
            <w:vAlign w:val="center"/>
          </w:tcPr>
          <w:p>
            <w:pPr>
              <w:numPr>
                <w:ilvl w:val="0"/>
                <w:numId w:val="11"/>
              </w:numPr>
              <w:adjustRightInd w:val="0"/>
              <w:snapToGrid w:val="0"/>
              <w:spacing w:line="240" w:lineRule="auto"/>
              <w:ind w:left="0" w:firstLine="0"/>
              <w:jc w:val="center"/>
              <w:rPr>
                <w:sz w:val="21"/>
              </w:rPr>
            </w:pPr>
          </w:p>
        </w:tc>
        <w:tc>
          <w:tcPr>
            <w:tcW w:w="798" w:type="pct"/>
            <w:tcBorders>
              <w:top w:val="single" w:sz="4" w:space="0" w:color="auto"/>
              <w:left w:val="single" w:sz="4" w:space="0" w:color="auto"/>
              <w:bottom w:val="single" w:sz="4" w:space="0" w:color="auto"/>
              <w:right w:val="single" w:sz="4" w:space="0" w:color="auto"/>
            </w:tcBorders>
            <w:shd w:val="clear" w:color="auto" w:fill="auto"/>
            <w:noWrap/>
            <w:vAlign w:val="center"/>
          </w:tcPr>
          <w:p>
            <w:pPr>
              <w:adjustRightInd w:val="0"/>
              <w:snapToGrid w:val="0"/>
              <w:spacing w:line="240" w:lineRule="auto"/>
              <w:jc w:val="center"/>
              <w:rPr>
                <w:sz w:val="21"/>
              </w:rPr>
            </w:pPr>
            <w:r>
              <w:rPr>
                <w:sz w:val="21"/>
              </w:rPr>
              <w:t>土壤污染状况调查项目</w:t>
            </w:r>
          </w:p>
        </w:tc>
        <w:tc>
          <w:tcPr>
            <w:tcW w:w="2198" w:type="pct"/>
            <w:tcBorders>
              <w:top w:val="single" w:sz="4" w:space="0" w:color="auto"/>
              <w:left w:val="single" w:sz="4" w:space="0" w:color="auto"/>
              <w:bottom w:val="single" w:sz="4" w:space="0" w:color="auto"/>
              <w:right w:val="single" w:sz="4" w:space="0" w:color="auto"/>
            </w:tcBorders>
            <w:shd w:val="clear" w:color="auto" w:fill="auto"/>
            <w:noWrap/>
            <w:vAlign w:val="center"/>
          </w:tcPr>
          <w:p>
            <w:pPr>
              <w:adjustRightInd w:val="0"/>
              <w:snapToGrid w:val="0"/>
              <w:spacing w:line="240" w:lineRule="auto"/>
              <w:ind w:firstLine="420"/>
              <w:rPr>
                <w:sz w:val="21"/>
              </w:rPr>
            </w:pPr>
            <w:r>
              <w:rPr>
                <w:sz w:val="21"/>
              </w:rPr>
              <w:t>对纳入优先管控名录的地块、长江大保护沿江区域工业企业腾退地块等开展土壤污染状况调查。</w:t>
            </w:r>
          </w:p>
        </w:tc>
        <w:tc>
          <w:tcPr>
            <w:tcW w:w="418" w:type="pct"/>
            <w:tcBorders>
              <w:top w:val="single" w:sz="4" w:space="0" w:color="auto"/>
              <w:left w:val="single" w:sz="4" w:space="0" w:color="auto"/>
              <w:bottom w:val="single" w:sz="4" w:space="0" w:color="auto"/>
              <w:right w:val="single" w:sz="4" w:space="0" w:color="auto"/>
            </w:tcBorders>
            <w:shd w:val="clear" w:color="auto" w:fill="auto"/>
            <w:noWrap/>
            <w:vAlign w:val="center"/>
          </w:tcPr>
          <w:p>
            <w:pPr>
              <w:adjustRightInd w:val="0"/>
              <w:snapToGrid w:val="0"/>
              <w:spacing w:line="240" w:lineRule="auto"/>
              <w:jc w:val="center"/>
              <w:rPr>
                <w:sz w:val="21"/>
              </w:rPr>
            </w:pPr>
            <w:r>
              <w:rPr>
                <w:sz w:val="21"/>
              </w:rPr>
              <w:t>2023-2025</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tcPr>
          <w:p>
            <w:pPr>
              <w:adjustRightInd w:val="0"/>
              <w:snapToGrid w:val="0"/>
              <w:spacing w:line="240" w:lineRule="auto"/>
              <w:jc w:val="center"/>
              <w:rPr>
                <w:sz w:val="21"/>
              </w:rPr>
            </w:pPr>
            <w:r>
              <w:rPr>
                <w:sz w:val="21"/>
              </w:rPr>
              <w:t>3000</w:t>
            </w:r>
          </w:p>
        </w:tc>
        <w:tc>
          <w:tcPr>
            <w:tcW w:w="703" w:type="pct"/>
            <w:tcBorders>
              <w:top w:val="single" w:sz="4" w:space="0" w:color="auto"/>
              <w:left w:val="single" w:sz="4" w:space="0" w:color="auto"/>
              <w:bottom w:val="single" w:sz="4" w:space="0" w:color="auto"/>
              <w:right w:val="single" w:sz="4" w:space="0" w:color="auto"/>
            </w:tcBorders>
            <w:shd w:val="clear" w:color="auto" w:fill="auto"/>
            <w:noWrap/>
            <w:vAlign w:val="center"/>
          </w:tcPr>
          <w:p>
            <w:pPr>
              <w:adjustRightInd w:val="0"/>
              <w:snapToGrid w:val="0"/>
              <w:spacing w:line="240" w:lineRule="auto"/>
              <w:jc w:val="center"/>
              <w:rPr>
                <w:rFonts w:eastAsia="仿宋"/>
                <w:sz w:val="21"/>
              </w:rPr>
            </w:pPr>
            <w:r>
              <w:rPr>
                <w:bCs/>
                <w:sz w:val="21"/>
              </w:rPr>
              <w:t>雨花台生态环境局、</w:t>
              <w:tab/>
              <w:tab/>
              <w:t>各相关街道、雨花经济开发区</w:t>
            </w:r>
          </w:p>
        </w:tc>
      </w:tr>
      <w:tr>
        <w:trPr>
          <w:trHeight w:val="340"/>
        </w:trPr>
        <w:tc>
          <w:tcPr>
            <w:tcW w:w="287" w:type="pct"/>
            <w:vMerge/>
            <w:tcBorders>
              <w:top w:val="single" w:sz="4" w:space="0" w:color="auto"/>
              <w:left w:val="single" w:sz="4" w:space="0" w:color="auto"/>
              <w:bottom w:val="single" w:sz="4" w:space="0" w:color="auto"/>
              <w:right w:val="single" w:sz="4" w:space="0" w:color="auto"/>
            </w:tcBorders>
            <w:shd w:val="clear" w:color="auto" w:fill="auto"/>
            <w:noWrap/>
            <w:vAlign w:val="center"/>
          </w:tcPr>
          <w:p/>
        </w:tc>
        <w:tc>
          <w:tcPr>
            <w:tcW w:w="173" w:type="pct"/>
            <w:tcBorders>
              <w:top w:val="single" w:sz="4" w:space="0" w:color="auto"/>
              <w:left w:val="single" w:sz="4" w:space="0" w:color="auto"/>
              <w:bottom w:val="single" w:sz="4" w:space="0" w:color="auto"/>
              <w:right w:val="single" w:sz="4" w:space="0" w:color="auto"/>
            </w:tcBorders>
            <w:shd w:val="clear" w:color="auto" w:fill="auto"/>
            <w:noWrap/>
            <w:vAlign w:val="center"/>
          </w:tcPr>
          <w:p>
            <w:pPr>
              <w:numPr>
                <w:ilvl w:val="0"/>
                <w:numId w:val="11"/>
              </w:numPr>
              <w:adjustRightInd w:val="0"/>
              <w:snapToGrid w:val="0"/>
              <w:spacing w:line="240" w:lineRule="auto"/>
              <w:ind w:left="0" w:firstLine="0"/>
              <w:jc w:val="center"/>
              <w:rPr>
                <w:sz w:val="21"/>
              </w:rPr>
            </w:pPr>
          </w:p>
        </w:tc>
        <w:tc>
          <w:tcPr>
            <w:tcW w:w="798" w:type="pct"/>
            <w:tcBorders>
              <w:top w:val="single" w:sz="4" w:space="0" w:color="auto"/>
              <w:left w:val="single" w:sz="4" w:space="0" w:color="auto"/>
              <w:bottom w:val="single" w:sz="4" w:space="0" w:color="auto"/>
              <w:right w:val="single" w:sz="4" w:space="0" w:color="auto"/>
            </w:tcBorders>
            <w:shd w:val="clear" w:color="auto" w:fill="auto"/>
            <w:noWrap/>
            <w:vAlign w:val="center"/>
          </w:tcPr>
          <w:p>
            <w:pPr>
              <w:adjustRightInd w:val="0"/>
              <w:snapToGrid w:val="0"/>
              <w:spacing w:line="240" w:lineRule="auto"/>
              <w:jc w:val="center"/>
              <w:rPr>
                <w:sz w:val="21"/>
              </w:rPr>
            </w:pPr>
            <w:r>
              <w:rPr>
                <w:sz w:val="21"/>
              </w:rPr>
              <w:t>重点监管企业周边土壤及地下水环境监测工程</w:t>
            </w:r>
          </w:p>
        </w:tc>
        <w:tc>
          <w:tcPr>
            <w:tcW w:w="2198" w:type="pct"/>
            <w:tcBorders>
              <w:top w:val="single" w:sz="4" w:space="0" w:color="auto"/>
              <w:left w:val="single" w:sz="4" w:space="0" w:color="auto"/>
              <w:bottom w:val="single" w:sz="4" w:space="0" w:color="auto"/>
              <w:right w:val="single" w:sz="4" w:space="0" w:color="auto"/>
            </w:tcBorders>
            <w:shd w:val="clear" w:color="auto" w:fill="auto"/>
            <w:noWrap/>
            <w:vAlign w:val="center"/>
          </w:tcPr>
          <w:p>
            <w:pPr>
              <w:adjustRightInd w:val="0"/>
              <w:snapToGrid w:val="0"/>
              <w:spacing w:line="240" w:lineRule="auto"/>
              <w:ind w:firstLine="420"/>
              <w:rPr>
                <w:sz w:val="21"/>
              </w:rPr>
            </w:pPr>
            <w:r>
              <w:rPr>
                <w:sz w:val="21"/>
              </w:rPr>
              <w:t>完成1轮土壤污染重点监管单位周边土壤及地下水环境监测。</w:t>
            </w:r>
          </w:p>
        </w:tc>
        <w:tc>
          <w:tcPr>
            <w:tcW w:w="418" w:type="pct"/>
            <w:tcBorders>
              <w:top w:val="single" w:sz="4" w:space="0" w:color="auto"/>
              <w:left w:val="single" w:sz="4" w:space="0" w:color="auto"/>
              <w:bottom w:val="single" w:sz="4" w:space="0" w:color="auto"/>
              <w:right w:val="single" w:sz="4" w:space="0" w:color="auto"/>
            </w:tcBorders>
            <w:shd w:val="clear" w:color="auto" w:fill="auto"/>
            <w:noWrap/>
            <w:vAlign w:val="center"/>
          </w:tcPr>
          <w:p>
            <w:pPr>
              <w:adjustRightInd w:val="0"/>
              <w:snapToGrid w:val="0"/>
              <w:spacing w:line="240" w:lineRule="auto"/>
              <w:jc w:val="center"/>
              <w:rPr>
                <w:sz w:val="21"/>
              </w:rPr>
            </w:pPr>
            <w:r>
              <w:rPr>
                <w:sz w:val="21"/>
              </w:rPr>
              <w:t>2023-2025</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tcPr>
          <w:p>
            <w:pPr>
              <w:adjustRightInd w:val="0"/>
              <w:snapToGrid w:val="0"/>
              <w:spacing w:line="240" w:lineRule="auto"/>
              <w:jc w:val="center"/>
              <w:rPr>
                <w:sz w:val="21"/>
              </w:rPr>
            </w:pPr>
            <w:r>
              <w:rPr>
                <w:sz w:val="21"/>
              </w:rPr>
              <w:t>50</w:t>
            </w:r>
          </w:p>
        </w:tc>
        <w:tc>
          <w:tcPr>
            <w:tcW w:w="703" w:type="pct"/>
            <w:tcBorders>
              <w:top w:val="single" w:sz="4" w:space="0" w:color="auto"/>
              <w:left w:val="single" w:sz="4" w:space="0" w:color="auto"/>
              <w:bottom w:val="single" w:sz="4" w:space="0" w:color="auto"/>
              <w:right w:val="single" w:sz="4" w:space="0" w:color="auto"/>
            </w:tcBorders>
            <w:shd w:val="clear" w:color="auto" w:fill="auto"/>
            <w:noWrap/>
            <w:vAlign w:val="center"/>
          </w:tcPr>
          <w:p>
            <w:pPr>
              <w:adjustRightInd w:val="0"/>
              <w:snapToGrid w:val="0"/>
              <w:spacing w:line="240" w:lineRule="auto"/>
              <w:jc w:val="center"/>
              <w:rPr>
                <w:rFonts w:eastAsia="仿宋"/>
                <w:sz w:val="21"/>
              </w:rPr>
            </w:pPr>
            <w:r>
              <w:rPr>
                <w:bCs/>
                <w:sz w:val="21"/>
              </w:rPr>
              <w:t>雨花台生态环境局、</w:t>
              <w:tab/>
              <w:tab/>
              <w:t>各相关街道、雨花经济开发区</w:t>
            </w:r>
          </w:p>
        </w:tc>
      </w:tr>
      <w:tr>
        <w:trPr>
          <w:trHeight w:val="340"/>
        </w:trPr>
        <w:tc>
          <w:tcPr>
            <w:tcW w:w="287" w:type="pct"/>
            <w:vMerge/>
            <w:tcBorders>
              <w:top w:val="single" w:sz="4" w:space="0" w:color="auto"/>
              <w:left w:val="single" w:sz="4" w:space="0" w:color="auto"/>
              <w:bottom w:val="single" w:sz="4" w:space="0" w:color="auto"/>
              <w:right w:val="single" w:sz="4" w:space="0" w:color="auto"/>
            </w:tcBorders>
            <w:shd w:val="clear" w:color="auto" w:fill="auto"/>
            <w:noWrap/>
            <w:vAlign w:val="center"/>
          </w:tcPr>
          <w:p/>
        </w:tc>
        <w:tc>
          <w:tcPr>
            <w:tcW w:w="173" w:type="pct"/>
            <w:tcBorders>
              <w:top w:val="single" w:sz="4" w:space="0" w:color="auto"/>
              <w:left w:val="single" w:sz="4" w:space="0" w:color="auto"/>
              <w:bottom w:val="single" w:sz="4" w:space="0" w:color="auto"/>
              <w:right w:val="single" w:sz="4" w:space="0" w:color="auto"/>
            </w:tcBorders>
            <w:shd w:val="clear" w:color="auto" w:fill="auto"/>
            <w:noWrap/>
            <w:vAlign w:val="center"/>
          </w:tcPr>
          <w:p>
            <w:pPr>
              <w:numPr>
                <w:ilvl w:val="0"/>
                <w:numId w:val="11"/>
              </w:numPr>
              <w:adjustRightInd w:val="0"/>
              <w:snapToGrid w:val="0"/>
              <w:spacing w:line="240" w:lineRule="auto"/>
              <w:ind w:left="0" w:firstLine="0"/>
              <w:jc w:val="center"/>
              <w:rPr>
                <w:sz w:val="21"/>
              </w:rPr>
            </w:pPr>
          </w:p>
        </w:tc>
        <w:tc>
          <w:tcPr>
            <w:tcW w:w="798" w:type="pct"/>
            <w:tcBorders>
              <w:top w:val="single" w:sz="4" w:space="0" w:color="auto"/>
              <w:left w:val="single" w:sz="4" w:space="0" w:color="auto"/>
              <w:bottom w:val="single" w:sz="4" w:space="0" w:color="auto"/>
              <w:right w:val="single" w:sz="4" w:space="0" w:color="auto"/>
            </w:tcBorders>
            <w:shd w:val="clear" w:color="auto" w:fill="auto"/>
            <w:noWrap/>
            <w:vAlign w:val="center"/>
          </w:tcPr>
          <w:p>
            <w:pPr>
              <w:adjustRightInd w:val="0"/>
              <w:snapToGrid w:val="0"/>
              <w:spacing w:line="240" w:lineRule="auto"/>
              <w:jc w:val="center"/>
              <w:rPr>
                <w:sz w:val="21"/>
              </w:rPr>
            </w:pPr>
            <w:r>
              <w:rPr>
                <w:sz w:val="21"/>
              </w:rPr>
              <w:t>土壤污染治理修复工程</w:t>
            </w:r>
          </w:p>
        </w:tc>
        <w:tc>
          <w:tcPr>
            <w:tcW w:w="2198" w:type="pct"/>
            <w:tcBorders>
              <w:top w:val="single" w:sz="4" w:space="0" w:color="auto"/>
              <w:left w:val="single" w:sz="4" w:space="0" w:color="auto"/>
              <w:bottom w:val="single" w:sz="4" w:space="0" w:color="auto"/>
              <w:right w:val="single" w:sz="4" w:space="0" w:color="auto"/>
            </w:tcBorders>
            <w:shd w:val="clear" w:color="auto" w:fill="auto"/>
            <w:noWrap/>
            <w:vAlign w:val="center"/>
          </w:tcPr>
          <w:p>
            <w:pPr>
              <w:adjustRightInd w:val="0"/>
              <w:snapToGrid w:val="0"/>
              <w:spacing w:line="240" w:lineRule="auto"/>
              <w:ind w:firstLine="420"/>
              <w:rPr>
                <w:sz w:val="21"/>
              </w:rPr>
            </w:pPr>
            <w:r>
              <w:rPr>
                <w:sz w:val="21"/>
              </w:rPr>
              <w:t>完成贾东村地块、原第二钢铁厂地块、原依维柯发动机厂地块等土壤污染修复工程。</w:t>
            </w:r>
          </w:p>
        </w:tc>
        <w:tc>
          <w:tcPr>
            <w:tcW w:w="418" w:type="pct"/>
            <w:tcBorders>
              <w:top w:val="single" w:sz="4" w:space="0" w:color="auto"/>
              <w:left w:val="single" w:sz="4" w:space="0" w:color="auto"/>
              <w:bottom w:val="single" w:sz="4" w:space="0" w:color="auto"/>
              <w:right w:val="single" w:sz="4" w:space="0" w:color="auto"/>
            </w:tcBorders>
            <w:shd w:val="clear" w:color="auto" w:fill="auto"/>
            <w:noWrap/>
            <w:vAlign w:val="center"/>
          </w:tcPr>
          <w:p>
            <w:pPr>
              <w:adjustRightInd w:val="0"/>
              <w:snapToGrid w:val="0"/>
              <w:spacing w:line="240" w:lineRule="auto"/>
              <w:jc w:val="center"/>
              <w:rPr>
                <w:sz w:val="21"/>
              </w:rPr>
            </w:pPr>
            <w:r>
              <w:rPr>
                <w:sz w:val="21"/>
              </w:rPr>
              <w:t>2023-2025</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tcPr>
          <w:p>
            <w:pPr>
              <w:adjustRightInd w:val="0"/>
              <w:snapToGrid w:val="0"/>
              <w:spacing w:line="240" w:lineRule="auto"/>
              <w:jc w:val="center"/>
              <w:rPr>
                <w:sz w:val="21"/>
              </w:rPr>
            </w:pPr>
            <w:r>
              <w:rPr>
                <w:sz w:val="21"/>
              </w:rPr>
              <w:t>30000</w:t>
            </w:r>
          </w:p>
        </w:tc>
        <w:tc>
          <w:tcPr>
            <w:tcW w:w="703" w:type="pct"/>
            <w:tcBorders>
              <w:top w:val="single" w:sz="4" w:space="0" w:color="auto"/>
              <w:left w:val="single" w:sz="4" w:space="0" w:color="auto"/>
              <w:bottom w:val="single" w:sz="4" w:space="0" w:color="auto"/>
              <w:right w:val="single" w:sz="4" w:space="0" w:color="auto"/>
            </w:tcBorders>
            <w:shd w:val="clear" w:color="auto" w:fill="auto"/>
            <w:noWrap/>
            <w:vAlign w:val="center"/>
          </w:tcPr>
          <w:p>
            <w:pPr>
              <w:adjustRightInd w:val="0"/>
              <w:snapToGrid w:val="0"/>
              <w:spacing w:line="240" w:lineRule="auto"/>
              <w:jc w:val="center"/>
              <w:rPr>
                <w:rFonts w:eastAsia="仿宋"/>
                <w:sz w:val="21"/>
              </w:rPr>
            </w:pPr>
            <w:r>
              <w:rPr>
                <w:bCs/>
                <w:sz w:val="21"/>
              </w:rPr>
              <w:t>雨花台生态环境局、规划资源分局、</w:t>
              <w:tab/>
              <w:tab/>
              <w:t>各相关街道</w:t>
            </w:r>
          </w:p>
        </w:tc>
      </w:tr>
      <w:tr>
        <w:trPr>
          <w:trHeight w:val="340"/>
        </w:trPr>
        <w:tc>
          <w:tcPr>
            <w:tcW w:w="287" w:type="pct"/>
            <w:vMerge/>
            <w:tcBorders>
              <w:top w:val="single" w:sz="4" w:space="0" w:color="auto"/>
              <w:left w:val="single" w:sz="4" w:space="0" w:color="auto"/>
              <w:bottom w:val="single" w:sz="4" w:space="0" w:color="auto"/>
              <w:right w:val="single" w:sz="4" w:space="0" w:color="auto"/>
            </w:tcBorders>
            <w:shd w:val="clear" w:color="auto" w:fill="auto"/>
            <w:noWrap/>
            <w:vAlign w:val="center"/>
          </w:tcPr>
          <w:p/>
        </w:tc>
        <w:tc>
          <w:tcPr>
            <w:tcW w:w="173" w:type="pct"/>
            <w:tcBorders>
              <w:top w:val="single" w:sz="4" w:space="0" w:color="auto"/>
              <w:left w:val="single" w:sz="4" w:space="0" w:color="auto"/>
              <w:bottom w:val="single" w:sz="4" w:space="0" w:color="auto"/>
              <w:right w:val="single" w:sz="4" w:space="0" w:color="auto"/>
            </w:tcBorders>
            <w:shd w:val="clear" w:color="auto" w:fill="auto"/>
            <w:noWrap/>
            <w:vAlign w:val="center"/>
          </w:tcPr>
          <w:p>
            <w:pPr>
              <w:numPr>
                <w:ilvl w:val="0"/>
                <w:numId w:val="11"/>
              </w:numPr>
              <w:adjustRightInd w:val="0"/>
              <w:snapToGrid w:val="0"/>
              <w:spacing w:line="240" w:lineRule="auto"/>
              <w:ind w:left="0" w:firstLine="0"/>
              <w:jc w:val="center"/>
              <w:rPr>
                <w:sz w:val="21"/>
              </w:rPr>
            </w:pPr>
          </w:p>
        </w:tc>
        <w:tc>
          <w:tcPr>
            <w:tcW w:w="798" w:type="pct"/>
            <w:tcBorders>
              <w:top w:val="single" w:sz="4" w:space="0" w:color="auto"/>
              <w:left w:val="single" w:sz="4" w:space="0" w:color="auto"/>
              <w:bottom w:val="single" w:sz="4" w:space="0" w:color="auto"/>
              <w:right w:val="single" w:sz="4" w:space="0" w:color="auto"/>
            </w:tcBorders>
            <w:shd w:val="clear" w:color="auto" w:fill="auto"/>
            <w:noWrap/>
            <w:vAlign w:val="center"/>
          </w:tcPr>
          <w:p>
            <w:pPr>
              <w:adjustRightInd w:val="0"/>
              <w:snapToGrid w:val="0"/>
              <w:spacing w:line="240" w:lineRule="auto"/>
              <w:jc w:val="center"/>
              <w:rPr>
                <w:sz w:val="21"/>
              </w:rPr>
            </w:pPr>
            <w:r>
              <w:rPr>
                <w:sz w:val="21"/>
              </w:rPr>
              <w:t>一般工业固废及其他多源城市固废协同资源化利用项目</w:t>
            </w:r>
          </w:p>
        </w:tc>
        <w:tc>
          <w:tcPr>
            <w:tcW w:w="2198" w:type="pct"/>
            <w:tcBorders>
              <w:top w:val="single" w:sz="4" w:space="0" w:color="auto"/>
              <w:left w:val="single" w:sz="4" w:space="0" w:color="auto"/>
              <w:bottom w:val="single" w:sz="4" w:space="0" w:color="auto"/>
              <w:right w:val="single" w:sz="4" w:space="0" w:color="auto"/>
            </w:tcBorders>
            <w:shd w:val="clear" w:color="auto" w:fill="auto"/>
            <w:noWrap/>
            <w:vAlign w:val="center"/>
          </w:tcPr>
          <w:p>
            <w:pPr>
              <w:adjustRightInd w:val="0"/>
              <w:snapToGrid w:val="0"/>
              <w:spacing w:line="240" w:lineRule="auto"/>
              <w:ind w:firstLine="420"/>
              <w:rPr>
                <w:sz w:val="21"/>
              </w:rPr>
            </w:pPr>
            <w:r>
              <w:rPr>
                <w:sz w:val="21"/>
              </w:rPr>
              <w:t>以城市多源固废为原料，进行综合预处理，生产骨料、固废衍生燃料产品，预计资源化利用一般工业固废及其他多源城市固体废物25万吨/年。</w:t>
            </w:r>
          </w:p>
        </w:tc>
        <w:tc>
          <w:tcPr>
            <w:tcW w:w="418" w:type="pct"/>
            <w:tcBorders>
              <w:top w:val="single" w:sz="4" w:space="0" w:color="auto"/>
              <w:left w:val="single" w:sz="4" w:space="0" w:color="auto"/>
              <w:bottom w:val="single" w:sz="4" w:space="0" w:color="auto"/>
              <w:right w:val="single" w:sz="4" w:space="0" w:color="auto"/>
            </w:tcBorders>
            <w:shd w:val="clear" w:color="auto" w:fill="auto"/>
            <w:noWrap/>
            <w:vAlign w:val="center"/>
          </w:tcPr>
          <w:p>
            <w:pPr>
              <w:adjustRightInd w:val="0"/>
              <w:snapToGrid w:val="0"/>
              <w:spacing w:line="240" w:lineRule="auto"/>
              <w:jc w:val="center"/>
              <w:rPr>
                <w:sz w:val="21"/>
              </w:rPr>
            </w:pPr>
            <w:r>
              <w:rPr>
                <w:sz w:val="21"/>
              </w:rPr>
              <w:t>2023-2025</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tcPr>
          <w:p>
            <w:pPr>
              <w:adjustRightInd w:val="0"/>
              <w:snapToGrid w:val="0"/>
              <w:spacing w:line="240" w:lineRule="auto"/>
              <w:jc w:val="center"/>
              <w:rPr>
                <w:sz w:val="21"/>
              </w:rPr>
            </w:pPr>
            <w:r>
              <w:rPr>
                <w:sz w:val="21"/>
              </w:rPr>
              <w:t>4500</w:t>
            </w:r>
          </w:p>
        </w:tc>
        <w:tc>
          <w:tcPr>
            <w:tcW w:w="703" w:type="pct"/>
            <w:tcBorders>
              <w:top w:val="single" w:sz="4" w:space="0" w:color="auto"/>
              <w:left w:val="single" w:sz="4" w:space="0" w:color="auto"/>
              <w:bottom w:val="single" w:sz="4" w:space="0" w:color="auto"/>
              <w:right w:val="single" w:sz="4" w:space="0" w:color="auto"/>
            </w:tcBorders>
            <w:shd w:val="clear" w:color="auto" w:fill="auto"/>
            <w:noWrap/>
            <w:vAlign w:val="center"/>
          </w:tcPr>
          <w:p>
            <w:pPr>
              <w:adjustRightInd w:val="0"/>
              <w:snapToGrid w:val="0"/>
              <w:spacing w:line="240" w:lineRule="auto"/>
              <w:jc w:val="center"/>
              <w:rPr>
                <w:rFonts w:eastAsia="仿宋"/>
                <w:sz w:val="21"/>
              </w:rPr>
            </w:pPr>
            <w:r>
              <w:rPr>
                <w:bCs/>
                <w:sz w:val="21"/>
              </w:rPr>
              <w:t>雨花台生态环境局、江苏省环境资源有限公司</w:t>
            </w:r>
          </w:p>
        </w:tc>
      </w:tr>
      <w:tr>
        <w:trPr>
          <w:trHeight w:val="340"/>
        </w:trPr>
        <w:tc>
          <w:tcPr>
            <w:tcW w:w="287" w:type="pct"/>
            <w:vMerge/>
            <w:tcBorders>
              <w:top w:val="single" w:sz="4" w:space="0" w:color="auto"/>
              <w:left w:val="single" w:sz="4" w:space="0" w:color="auto"/>
              <w:bottom w:val="single" w:sz="4" w:space="0" w:color="auto"/>
              <w:right w:val="single" w:sz="4" w:space="0" w:color="auto"/>
            </w:tcBorders>
            <w:shd w:val="clear" w:color="auto" w:fill="auto"/>
            <w:noWrap/>
            <w:vAlign w:val="center"/>
          </w:tcPr>
          <w:p/>
        </w:tc>
        <w:tc>
          <w:tcPr>
            <w:tcW w:w="173" w:type="pct"/>
            <w:tcBorders>
              <w:top w:val="single" w:sz="4" w:space="0" w:color="auto"/>
              <w:left w:val="single" w:sz="4" w:space="0" w:color="auto"/>
              <w:bottom w:val="single" w:sz="4" w:space="0" w:color="auto"/>
              <w:right w:val="single" w:sz="4" w:space="0" w:color="auto"/>
            </w:tcBorders>
            <w:shd w:val="clear" w:color="auto" w:fill="auto"/>
            <w:noWrap/>
            <w:vAlign w:val="center"/>
          </w:tcPr>
          <w:p>
            <w:pPr>
              <w:numPr>
                <w:ilvl w:val="0"/>
                <w:numId w:val="11"/>
              </w:numPr>
              <w:adjustRightInd w:val="0"/>
              <w:snapToGrid w:val="0"/>
              <w:spacing w:line="240" w:lineRule="auto"/>
              <w:ind w:left="0" w:firstLine="0"/>
              <w:jc w:val="center"/>
              <w:rPr>
                <w:sz w:val="21"/>
              </w:rPr>
            </w:pPr>
          </w:p>
        </w:tc>
        <w:tc>
          <w:tcPr>
            <w:tcW w:w="798" w:type="pct"/>
            <w:tcBorders>
              <w:top w:val="single" w:sz="4" w:space="0" w:color="auto"/>
              <w:left w:val="single" w:sz="4" w:space="0" w:color="auto"/>
              <w:bottom w:val="single" w:sz="4" w:space="0" w:color="auto"/>
              <w:right w:val="single" w:sz="4" w:space="0" w:color="auto"/>
            </w:tcBorders>
            <w:shd w:val="clear" w:color="auto" w:fill="auto"/>
            <w:noWrap/>
            <w:vAlign w:val="center"/>
          </w:tcPr>
          <w:p>
            <w:pPr>
              <w:adjustRightInd w:val="0"/>
              <w:snapToGrid w:val="0"/>
              <w:spacing w:line="240" w:lineRule="auto"/>
              <w:jc w:val="center"/>
              <w:rPr>
                <w:sz w:val="21"/>
              </w:rPr>
            </w:pPr>
            <w:r>
              <w:rPr>
                <w:sz w:val="21"/>
              </w:rPr>
              <w:t>环境风险预警与防范能力提升工程</w:t>
            </w:r>
          </w:p>
        </w:tc>
        <w:tc>
          <w:tcPr>
            <w:tcW w:w="2198" w:type="pct"/>
            <w:tcBorders>
              <w:top w:val="single" w:sz="4" w:space="0" w:color="auto"/>
              <w:left w:val="single" w:sz="4" w:space="0" w:color="auto"/>
              <w:bottom w:val="single" w:sz="4" w:space="0" w:color="auto"/>
              <w:right w:val="single" w:sz="4" w:space="0" w:color="auto"/>
            </w:tcBorders>
            <w:shd w:val="clear" w:color="auto" w:fill="auto"/>
            <w:noWrap/>
            <w:vAlign w:val="center"/>
          </w:tcPr>
          <w:p>
            <w:pPr>
              <w:adjustRightInd w:val="0"/>
              <w:snapToGrid w:val="0"/>
              <w:spacing w:line="240" w:lineRule="auto"/>
              <w:ind w:firstLine="420"/>
              <w:rPr>
                <w:sz w:val="21"/>
              </w:rPr>
            </w:pPr>
            <w:r>
              <w:rPr>
                <w:sz w:val="21"/>
              </w:rPr>
              <w:t>持续开展环境安全隐患排查整治，督促部门及企业按期开展应急预案修编，定期开展应急演练。</w:t>
            </w:r>
          </w:p>
        </w:tc>
        <w:tc>
          <w:tcPr>
            <w:tcW w:w="418" w:type="pct"/>
            <w:tcBorders>
              <w:top w:val="single" w:sz="4" w:space="0" w:color="auto"/>
              <w:left w:val="single" w:sz="4" w:space="0" w:color="auto"/>
              <w:bottom w:val="single" w:sz="4" w:space="0" w:color="auto"/>
              <w:right w:val="single" w:sz="4" w:space="0" w:color="auto"/>
            </w:tcBorders>
            <w:shd w:val="clear" w:color="auto" w:fill="auto"/>
            <w:noWrap/>
            <w:vAlign w:val="center"/>
          </w:tcPr>
          <w:p>
            <w:pPr>
              <w:adjustRightInd w:val="0"/>
              <w:snapToGrid w:val="0"/>
              <w:spacing w:line="240" w:lineRule="auto"/>
              <w:jc w:val="center"/>
              <w:rPr>
                <w:sz w:val="21"/>
              </w:rPr>
            </w:pPr>
            <w:r>
              <w:rPr>
                <w:sz w:val="21"/>
              </w:rPr>
              <w:t>2023-2030</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tcPr>
          <w:p>
            <w:pPr>
              <w:adjustRightInd w:val="0"/>
              <w:snapToGrid w:val="0"/>
              <w:spacing w:line="240" w:lineRule="auto"/>
              <w:jc w:val="center"/>
              <w:rPr>
                <w:sz w:val="21"/>
              </w:rPr>
            </w:pPr>
            <w:r>
              <w:rPr>
                <w:sz w:val="21"/>
              </w:rPr>
              <w:t>/</w:t>
            </w:r>
          </w:p>
        </w:tc>
        <w:tc>
          <w:tcPr>
            <w:tcW w:w="703" w:type="pct"/>
            <w:tcBorders>
              <w:top w:val="single" w:sz="4" w:space="0" w:color="auto"/>
              <w:left w:val="single" w:sz="4" w:space="0" w:color="auto"/>
              <w:bottom w:val="single" w:sz="4" w:space="0" w:color="auto"/>
              <w:right w:val="single" w:sz="4" w:space="0" w:color="auto"/>
            </w:tcBorders>
            <w:shd w:val="clear" w:color="auto" w:fill="auto"/>
            <w:noWrap/>
            <w:vAlign w:val="center"/>
          </w:tcPr>
          <w:p>
            <w:pPr>
              <w:adjustRightInd w:val="0"/>
              <w:snapToGrid w:val="0"/>
              <w:spacing w:line="240" w:lineRule="auto"/>
              <w:jc w:val="center"/>
              <w:rPr>
                <w:rFonts w:eastAsia="仿宋"/>
                <w:sz w:val="21"/>
              </w:rPr>
            </w:pPr>
            <w:r>
              <w:rPr>
                <w:sz w:val="21"/>
              </w:rPr>
              <w:t>雨花台生态环境局、区综合行政执法局、</w:t>
              <w:tab/>
              <w:tab/>
              <w:t>各相关街道、雨花经济开发区</w:t>
            </w:r>
          </w:p>
        </w:tc>
      </w:tr>
      <w:tr>
        <w:trPr>
          <w:trHeight w:val="340"/>
        </w:trPr>
        <w:tc>
          <w:tcPr>
            <w:tcW w:w="287" w:type="pct"/>
            <w:vMerge/>
            <w:tcBorders>
              <w:top w:val="single" w:sz="4" w:space="0" w:color="auto"/>
              <w:left w:val="single" w:sz="4" w:space="0" w:color="auto"/>
              <w:bottom w:val="single" w:sz="4" w:space="0" w:color="auto"/>
              <w:right w:val="single" w:sz="4" w:space="0" w:color="auto"/>
            </w:tcBorders>
            <w:shd w:val="clear" w:color="auto" w:fill="auto"/>
            <w:noWrap/>
            <w:vAlign w:val="center"/>
          </w:tcPr>
          <w:p/>
        </w:tc>
        <w:tc>
          <w:tcPr>
            <w:tcW w:w="173" w:type="pct"/>
            <w:tcBorders>
              <w:top w:val="single" w:sz="4" w:space="0" w:color="auto"/>
              <w:left w:val="single" w:sz="4" w:space="0" w:color="auto"/>
              <w:bottom w:val="single" w:sz="4" w:space="0" w:color="auto"/>
              <w:right w:val="single" w:sz="4" w:space="0" w:color="auto"/>
            </w:tcBorders>
            <w:shd w:val="clear" w:color="auto" w:fill="auto"/>
            <w:noWrap/>
            <w:vAlign w:val="center"/>
          </w:tcPr>
          <w:p>
            <w:pPr>
              <w:numPr>
                <w:ilvl w:val="0"/>
                <w:numId w:val="11"/>
              </w:numPr>
              <w:adjustRightInd w:val="0"/>
              <w:snapToGrid w:val="0"/>
              <w:spacing w:line="240" w:lineRule="auto"/>
              <w:ind w:left="0" w:firstLine="0"/>
              <w:jc w:val="center"/>
              <w:rPr>
                <w:sz w:val="21"/>
              </w:rPr>
            </w:pPr>
          </w:p>
        </w:tc>
        <w:tc>
          <w:tcPr>
            <w:tcW w:w="798" w:type="pct"/>
            <w:tcBorders>
              <w:top w:val="single" w:sz="4" w:space="0" w:color="auto"/>
              <w:left w:val="single" w:sz="4" w:space="0" w:color="auto"/>
              <w:bottom w:val="single" w:sz="4" w:space="0" w:color="auto"/>
              <w:right w:val="single" w:sz="4" w:space="0" w:color="auto"/>
            </w:tcBorders>
            <w:shd w:val="clear" w:color="auto" w:fill="auto"/>
            <w:noWrap/>
            <w:vAlign w:val="center"/>
          </w:tcPr>
          <w:p>
            <w:pPr>
              <w:adjustRightInd w:val="0"/>
              <w:snapToGrid w:val="0"/>
              <w:spacing w:line="240" w:lineRule="auto"/>
              <w:jc w:val="center"/>
              <w:rPr>
                <w:sz w:val="21"/>
              </w:rPr>
            </w:pPr>
            <w:r>
              <w:rPr>
                <w:sz w:val="21"/>
              </w:rPr>
              <w:t>固废危废环境监管强化工程</w:t>
            </w:r>
          </w:p>
        </w:tc>
        <w:tc>
          <w:tcPr>
            <w:tcW w:w="2198" w:type="pct"/>
            <w:tcBorders>
              <w:top w:val="single" w:sz="4" w:space="0" w:color="auto"/>
              <w:left w:val="single" w:sz="4" w:space="0" w:color="auto"/>
              <w:bottom w:val="single" w:sz="4" w:space="0" w:color="auto"/>
              <w:right w:val="single" w:sz="4" w:space="0" w:color="auto"/>
            </w:tcBorders>
            <w:shd w:val="clear" w:color="auto" w:fill="auto"/>
            <w:noWrap/>
            <w:vAlign w:val="center"/>
          </w:tcPr>
          <w:p>
            <w:pPr>
              <w:adjustRightInd w:val="0"/>
              <w:snapToGrid w:val="0"/>
              <w:spacing w:line="240" w:lineRule="auto"/>
              <w:ind w:firstLine="420"/>
              <w:rPr>
                <w:sz w:val="21"/>
              </w:rPr>
            </w:pPr>
            <w:r>
              <w:rPr>
                <w:sz w:val="21"/>
              </w:rPr>
              <w:t>持续开展危险废物等安全专项整治三年行动，继续推进“清废”专项执法行动。</w:t>
            </w:r>
          </w:p>
        </w:tc>
        <w:tc>
          <w:tcPr>
            <w:tcW w:w="418" w:type="pct"/>
            <w:tcBorders>
              <w:top w:val="single" w:sz="4" w:space="0" w:color="auto"/>
              <w:left w:val="single" w:sz="4" w:space="0" w:color="auto"/>
              <w:bottom w:val="single" w:sz="4" w:space="0" w:color="auto"/>
              <w:right w:val="single" w:sz="4" w:space="0" w:color="auto"/>
            </w:tcBorders>
            <w:shd w:val="clear" w:color="auto" w:fill="auto"/>
            <w:noWrap/>
            <w:vAlign w:val="center"/>
          </w:tcPr>
          <w:p>
            <w:pPr>
              <w:adjustRightInd w:val="0"/>
              <w:snapToGrid w:val="0"/>
              <w:spacing w:line="240" w:lineRule="auto"/>
              <w:jc w:val="center"/>
              <w:rPr>
                <w:sz w:val="21"/>
              </w:rPr>
            </w:pPr>
            <w:r>
              <w:rPr>
                <w:sz w:val="21"/>
              </w:rPr>
              <w:t>2023-2025</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tcPr>
          <w:p>
            <w:pPr>
              <w:adjustRightInd w:val="0"/>
              <w:snapToGrid w:val="0"/>
              <w:spacing w:line="240" w:lineRule="auto"/>
              <w:jc w:val="center"/>
              <w:rPr>
                <w:sz w:val="21"/>
              </w:rPr>
            </w:pPr>
            <w:r>
              <w:rPr>
                <w:sz w:val="21"/>
              </w:rPr>
              <w:t>100</w:t>
            </w:r>
          </w:p>
        </w:tc>
        <w:tc>
          <w:tcPr>
            <w:tcW w:w="703" w:type="pct"/>
            <w:tcBorders>
              <w:top w:val="single" w:sz="4" w:space="0" w:color="auto"/>
              <w:left w:val="single" w:sz="4" w:space="0" w:color="auto"/>
              <w:bottom w:val="single" w:sz="4" w:space="0" w:color="auto"/>
              <w:right w:val="single" w:sz="4" w:space="0" w:color="auto"/>
            </w:tcBorders>
            <w:shd w:val="clear" w:color="auto" w:fill="auto"/>
            <w:noWrap/>
            <w:vAlign w:val="center"/>
          </w:tcPr>
          <w:p>
            <w:pPr>
              <w:adjustRightInd w:val="0"/>
              <w:snapToGrid w:val="0"/>
              <w:spacing w:line="240" w:lineRule="auto"/>
              <w:jc w:val="center"/>
              <w:rPr>
                <w:rFonts w:eastAsia="仿宋"/>
                <w:sz w:val="21"/>
              </w:rPr>
            </w:pPr>
            <w:r>
              <w:rPr>
                <w:sz w:val="21"/>
              </w:rPr>
              <w:t>雨花台生态环境局、</w:t>
              <w:tab/>
              <w:tab/>
              <w:t>各相关街道、雨花经济开发区</w:t>
            </w:r>
          </w:p>
        </w:tc>
      </w:tr>
      <w:tr>
        <w:trPr>
          <w:trHeight w:val="340"/>
        </w:trPr>
        <w:tc>
          <w:tcPr>
            <w:tcW w:w="287" w:type="pct"/>
            <w:vMerge/>
            <w:tcBorders>
              <w:top w:val="single" w:sz="4" w:space="0" w:color="auto"/>
              <w:left w:val="single" w:sz="4" w:space="0" w:color="auto"/>
              <w:bottom w:val="single" w:sz="4" w:space="0" w:color="auto"/>
              <w:right w:val="single" w:sz="4" w:space="0" w:color="auto"/>
            </w:tcBorders>
            <w:shd w:val="clear" w:color="auto" w:fill="auto"/>
            <w:noWrap/>
            <w:vAlign w:val="center"/>
          </w:tcPr>
          <w:p/>
        </w:tc>
        <w:tc>
          <w:tcPr>
            <w:tcW w:w="173" w:type="pct"/>
            <w:tcBorders>
              <w:top w:val="single" w:sz="4" w:space="0" w:color="auto"/>
              <w:left w:val="single" w:sz="4" w:space="0" w:color="auto"/>
              <w:bottom w:val="single" w:sz="4" w:space="0" w:color="auto"/>
              <w:right w:val="single" w:sz="4" w:space="0" w:color="auto"/>
            </w:tcBorders>
            <w:shd w:val="clear" w:color="auto" w:fill="auto"/>
            <w:noWrap/>
            <w:vAlign w:val="center"/>
          </w:tcPr>
          <w:p>
            <w:pPr>
              <w:numPr>
                <w:ilvl w:val="0"/>
                <w:numId w:val="11"/>
              </w:numPr>
              <w:adjustRightInd w:val="0"/>
              <w:snapToGrid w:val="0"/>
              <w:spacing w:line="240" w:lineRule="auto"/>
              <w:ind w:left="0" w:firstLine="0"/>
              <w:jc w:val="center"/>
              <w:rPr>
                <w:sz w:val="21"/>
              </w:rPr>
            </w:pPr>
          </w:p>
        </w:tc>
        <w:tc>
          <w:tcPr>
            <w:tcW w:w="798" w:type="pct"/>
            <w:tcBorders>
              <w:top w:val="single" w:sz="4" w:space="0" w:color="auto"/>
              <w:left w:val="single" w:sz="4" w:space="0" w:color="auto"/>
              <w:bottom w:val="single" w:sz="4" w:space="0" w:color="auto"/>
              <w:right w:val="single" w:sz="4" w:space="0" w:color="auto"/>
            </w:tcBorders>
            <w:shd w:val="clear" w:color="auto" w:fill="auto"/>
            <w:noWrap/>
            <w:vAlign w:val="center"/>
          </w:tcPr>
          <w:p>
            <w:pPr>
              <w:adjustRightInd w:val="0"/>
              <w:snapToGrid w:val="0"/>
              <w:spacing w:line="240" w:lineRule="auto"/>
              <w:jc w:val="center"/>
              <w:rPr>
                <w:sz w:val="21"/>
              </w:rPr>
            </w:pPr>
            <w:r>
              <w:rPr>
                <w:sz w:val="21"/>
              </w:rPr>
              <w:t>梅钢无废园区建设工程</w:t>
            </w:r>
          </w:p>
        </w:tc>
        <w:tc>
          <w:tcPr>
            <w:tcW w:w="2198" w:type="pct"/>
            <w:tcBorders>
              <w:top w:val="single" w:sz="4" w:space="0" w:color="auto"/>
              <w:left w:val="single" w:sz="4" w:space="0" w:color="auto"/>
              <w:bottom w:val="single" w:sz="4" w:space="0" w:color="auto"/>
              <w:right w:val="single" w:sz="4" w:space="0" w:color="auto"/>
            </w:tcBorders>
            <w:shd w:val="clear" w:color="auto" w:fill="auto"/>
            <w:noWrap/>
            <w:vAlign w:val="center"/>
          </w:tcPr>
          <w:p>
            <w:pPr>
              <w:adjustRightInd w:val="0"/>
              <w:snapToGrid w:val="0"/>
              <w:spacing w:line="240" w:lineRule="auto"/>
              <w:ind w:firstLine="420"/>
              <w:rPr>
                <w:sz w:val="21"/>
              </w:rPr>
            </w:pPr>
            <w:r>
              <w:rPr>
                <w:sz w:val="21"/>
              </w:rPr>
              <w:t>推进转底炉资源化利用、城市污泥处置、飞灰水洗烧结协同处置、飞灰水洗烧结协同处置、石灰窑改造危废焚烧、建筑垃圾与装修垃圾</w:t>
            </w:r>
            <w:r>
              <w:rPr>
                <w:rFonts w:hint="eastAsia"/>
                <w:sz w:val="21"/>
              </w:rPr>
              <w:t>（</w:t>
            </w:r>
            <w:r>
              <w:rPr>
                <w:sz w:val="21"/>
              </w:rPr>
              <w:t>大件垃圾</w:t>
            </w:r>
            <w:r>
              <w:rPr>
                <w:rFonts w:hint="eastAsia"/>
                <w:sz w:val="21"/>
              </w:rPr>
              <w:t>）</w:t>
            </w:r>
            <w:r>
              <w:rPr>
                <w:sz w:val="21"/>
              </w:rPr>
              <w:t>资源化利用、废活性炭再生及资源化等项目，完成固废循环利用产业园建设。</w:t>
            </w:r>
          </w:p>
        </w:tc>
        <w:tc>
          <w:tcPr>
            <w:tcW w:w="418" w:type="pct"/>
            <w:tcBorders>
              <w:top w:val="single" w:sz="4" w:space="0" w:color="auto"/>
              <w:left w:val="single" w:sz="4" w:space="0" w:color="auto"/>
              <w:bottom w:val="single" w:sz="4" w:space="0" w:color="auto"/>
              <w:right w:val="single" w:sz="4" w:space="0" w:color="auto"/>
            </w:tcBorders>
            <w:shd w:val="clear" w:color="auto" w:fill="auto"/>
            <w:noWrap/>
            <w:vAlign w:val="center"/>
          </w:tcPr>
          <w:p>
            <w:pPr>
              <w:adjustRightInd w:val="0"/>
              <w:snapToGrid w:val="0"/>
              <w:spacing w:line="240" w:lineRule="auto"/>
              <w:jc w:val="center"/>
              <w:rPr>
                <w:sz w:val="21"/>
              </w:rPr>
            </w:pPr>
            <w:r>
              <w:rPr>
                <w:sz w:val="21"/>
              </w:rPr>
              <w:t>2023-2030</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tcPr>
          <w:p>
            <w:pPr>
              <w:adjustRightInd w:val="0"/>
              <w:snapToGrid w:val="0"/>
              <w:spacing w:line="240" w:lineRule="auto"/>
              <w:jc w:val="center"/>
              <w:rPr>
                <w:sz w:val="21"/>
              </w:rPr>
            </w:pPr>
            <w:r>
              <w:rPr>
                <w:sz w:val="21"/>
              </w:rPr>
              <w:t>84000</w:t>
            </w:r>
          </w:p>
        </w:tc>
        <w:tc>
          <w:tcPr>
            <w:tcW w:w="703" w:type="pct"/>
            <w:tcBorders>
              <w:top w:val="single" w:sz="4" w:space="0" w:color="auto"/>
              <w:left w:val="single" w:sz="4" w:space="0" w:color="auto"/>
              <w:bottom w:val="single" w:sz="4" w:space="0" w:color="auto"/>
              <w:right w:val="single" w:sz="4" w:space="0" w:color="auto"/>
            </w:tcBorders>
            <w:shd w:val="clear" w:color="auto" w:fill="auto"/>
            <w:noWrap/>
            <w:vAlign w:val="center"/>
          </w:tcPr>
          <w:p>
            <w:pPr>
              <w:adjustRightInd w:val="0"/>
              <w:snapToGrid w:val="0"/>
              <w:spacing w:line="240" w:lineRule="auto"/>
              <w:jc w:val="center"/>
              <w:rPr>
                <w:sz w:val="21"/>
              </w:rPr>
            </w:pPr>
            <w:r>
              <w:rPr>
                <w:sz w:val="21"/>
              </w:rPr>
              <w:t>上海梅山钢铁股份有限公司、宝武环科南京资源利用有限公司</w:t>
            </w:r>
          </w:p>
        </w:tc>
      </w:tr>
      <w:tr>
        <w:trPr>
          <w:trHeight w:val="340"/>
        </w:trPr>
        <w:tc>
          <w:tcPr>
            <w:tcW w:w="287"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spacing w:line="240" w:lineRule="auto"/>
              <w:jc w:val="center"/>
              <w:rPr>
                <w:sz w:val="21"/>
              </w:rPr>
            </w:pPr>
            <w:r>
              <w:rPr>
                <w:sz w:val="21"/>
              </w:rPr>
              <w:t>生态空间优化工程</w:t>
            </w:r>
          </w:p>
        </w:tc>
        <w:tc>
          <w:tcPr>
            <w:tcW w:w="173" w:type="pct"/>
            <w:tcBorders>
              <w:top w:val="single" w:sz="4" w:space="0" w:color="auto"/>
              <w:left w:val="single" w:sz="4" w:space="0" w:color="auto"/>
              <w:bottom w:val="single" w:sz="4" w:space="0" w:color="auto"/>
              <w:right w:val="single" w:sz="4" w:space="0" w:color="auto"/>
            </w:tcBorders>
            <w:shd w:val="clear" w:color="auto" w:fill="auto"/>
            <w:noWrap/>
            <w:vAlign w:val="center"/>
          </w:tcPr>
          <w:p>
            <w:pPr>
              <w:numPr>
                <w:ilvl w:val="0"/>
                <w:numId w:val="11"/>
              </w:numPr>
              <w:adjustRightInd w:val="0"/>
              <w:snapToGrid w:val="0"/>
              <w:spacing w:line="240" w:lineRule="auto"/>
              <w:ind w:left="0" w:firstLine="0"/>
              <w:jc w:val="center"/>
              <w:rPr>
                <w:sz w:val="21"/>
              </w:rPr>
            </w:pPr>
          </w:p>
        </w:tc>
        <w:tc>
          <w:tcPr>
            <w:tcW w:w="798" w:type="pct"/>
            <w:tcBorders>
              <w:top w:val="single" w:sz="4" w:space="0" w:color="auto"/>
              <w:left w:val="single" w:sz="4" w:space="0" w:color="auto"/>
              <w:bottom w:val="single" w:sz="4" w:space="0" w:color="auto"/>
              <w:right w:val="single" w:sz="4" w:space="0" w:color="auto"/>
            </w:tcBorders>
            <w:shd w:val="clear" w:color="auto" w:fill="auto"/>
            <w:noWrap/>
            <w:vAlign w:val="center"/>
          </w:tcPr>
          <w:p>
            <w:pPr>
              <w:adjustRightInd w:val="0"/>
              <w:snapToGrid w:val="0"/>
              <w:spacing w:line="240" w:lineRule="auto"/>
              <w:jc w:val="center"/>
              <w:rPr>
                <w:sz w:val="21"/>
              </w:rPr>
            </w:pPr>
            <w:r>
              <w:rPr>
                <w:sz w:val="21"/>
              </w:rPr>
              <w:t>严格管控生态空间保护区域</w:t>
            </w:r>
          </w:p>
        </w:tc>
        <w:tc>
          <w:tcPr>
            <w:tcW w:w="2198" w:type="pct"/>
            <w:tcBorders>
              <w:top w:val="single" w:sz="4" w:space="0" w:color="auto"/>
              <w:left w:val="single" w:sz="4" w:space="0" w:color="auto"/>
              <w:bottom w:val="single" w:sz="4" w:space="0" w:color="auto"/>
              <w:right w:val="single" w:sz="4" w:space="0" w:color="auto"/>
            </w:tcBorders>
            <w:shd w:val="clear" w:color="auto" w:fill="auto"/>
            <w:noWrap/>
            <w:vAlign w:val="center"/>
          </w:tcPr>
          <w:p>
            <w:pPr>
              <w:adjustRightInd w:val="0"/>
              <w:snapToGrid w:val="0"/>
              <w:spacing w:line="240" w:lineRule="auto"/>
              <w:ind w:firstLine="420"/>
              <w:rPr>
                <w:sz w:val="21"/>
              </w:rPr>
            </w:pPr>
            <w:r>
              <w:rPr>
                <w:sz w:val="21"/>
              </w:rPr>
              <w:t>确定生态空间保护区域边界范围，设立边界标志，加强日常巡护和常态化执法督查，依法处罚破坏生态保护红线和生态空间管控区域的违法行为。</w:t>
            </w:r>
          </w:p>
        </w:tc>
        <w:tc>
          <w:tcPr>
            <w:tcW w:w="418" w:type="pct"/>
            <w:tcBorders>
              <w:top w:val="single" w:sz="4" w:space="0" w:color="auto"/>
              <w:left w:val="single" w:sz="4" w:space="0" w:color="auto"/>
              <w:bottom w:val="single" w:sz="4" w:space="0" w:color="auto"/>
              <w:right w:val="single" w:sz="4" w:space="0" w:color="auto"/>
            </w:tcBorders>
            <w:shd w:val="clear" w:color="auto" w:fill="auto"/>
            <w:noWrap/>
            <w:vAlign w:val="center"/>
          </w:tcPr>
          <w:p>
            <w:pPr>
              <w:adjustRightInd w:val="0"/>
              <w:snapToGrid w:val="0"/>
              <w:spacing w:line="240" w:lineRule="auto"/>
              <w:jc w:val="center"/>
              <w:rPr>
                <w:sz w:val="21"/>
              </w:rPr>
            </w:pPr>
            <w:r>
              <w:rPr>
                <w:sz w:val="21"/>
              </w:rPr>
              <w:t>2023-2025</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tcPr>
          <w:p>
            <w:pPr>
              <w:adjustRightInd w:val="0"/>
              <w:snapToGrid w:val="0"/>
              <w:spacing w:line="240" w:lineRule="auto"/>
              <w:jc w:val="center"/>
              <w:rPr>
                <w:sz w:val="21"/>
              </w:rPr>
            </w:pPr>
            <w:r>
              <w:rPr>
                <w:sz w:val="21"/>
              </w:rPr>
              <w:t>1000</w:t>
            </w:r>
          </w:p>
        </w:tc>
        <w:tc>
          <w:tcPr>
            <w:tcW w:w="703" w:type="pct"/>
            <w:tcBorders>
              <w:top w:val="single" w:sz="4" w:space="0" w:color="auto"/>
              <w:left w:val="single" w:sz="4" w:space="0" w:color="auto"/>
              <w:bottom w:val="single" w:sz="4" w:space="0" w:color="auto"/>
              <w:right w:val="single" w:sz="4" w:space="0" w:color="auto"/>
            </w:tcBorders>
            <w:shd w:val="clear" w:color="auto" w:fill="auto"/>
            <w:noWrap/>
            <w:vAlign w:val="center"/>
          </w:tcPr>
          <w:p>
            <w:pPr>
              <w:spacing w:line="320" w:lineRule="exact"/>
              <w:jc w:val="center"/>
              <w:rPr>
                <w:sz w:val="21"/>
              </w:rPr>
            </w:pPr>
            <w:r>
              <w:rPr>
                <w:sz w:val="21"/>
              </w:rPr>
              <w:t>规划资源分局、雨花台生态环境局</w:t>
            </w:r>
          </w:p>
        </w:tc>
      </w:tr>
      <w:tr>
        <w:trPr>
          <w:trHeight w:val="386"/>
        </w:trPr>
        <w:tc>
          <w:tcPr>
            <w:tcW w:w="287" w:type="pct"/>
            <w:vMerge/>
            <w:tcBorders>
              <w:top w:val="single" w:sz="4" w:space="0" w:color="auto"/>
              <w:left w:val="single" w:sz="4" w:space="0" w:color="auto"/>
              <w:bottom w:val="single" w:sz="4" w:space="0" w:color="auto"/>
              <w:right w:val="single" w:sz="4" w:space="0" w:color="auto"/>
            </w:tcBorders>
            <w:shd w:val="clear" w:color="auto" w:fill="auto"/>
            <w:noWrap/>
            <w:vAlign w:val="center"/>
          </w:tcPr>
          <w:p/>
        </w:tc>
        <w:tc>
          <w:tcPr>
            <w:tcW w:w="173" w:type="pct"/>
            <w:tcBorders>
              <w:top w:val="single" w:sz="4" w:space="0" w:color="auto"/>
              <w:left w:val="single" w:sz="4" w:space="0" w:color="auto"/>
              <w:bottom w:val="single" w:sz="4" w:space="0" w:color="auto"/>
              <w:right w:val="single" w:sz="4" w:space="0" w:color="auto"/>
            </w:tcBorders>
            <w:shd w:val="clear" w:color="auto" w:fill="auto"/>
            <w:noWrap/>
            <w:vAlign w:val="center"/>
          </w:tcPr>
          <w:p>
            <w:pPr>
              <w:numPr>
                <w:ilvl w:val="0"/>
                <w:numId w:val="11"/>
              </w:numPr>
              <w:adjustRightInd w:val="0"/>
              <w:snapToGrid w:val="0"/>
              <w:spacing w:line="240" w:lineRule="auto"/>
              <w:ind w:left="0" w:firstLine="0"/>
              <w:jc w:val="center"/>
              <w:rPr>
                <w:sz w:val="21"/>
              </w:rPr>
            </w:pPr>
          </w:p>
        </w:tc>
        <w:tc>
          <w:tcPr>
            <w:tcW w:w="798" w:type="pct"/>
            <w:tcBorders>
              <w:top w:val="single" w:sz="4" w:space="0" w:color="auto"/>
              <w:left w:val="single" w:sz="4" w:space="0" w:color="auto"/>
              <w:bottom w:val="single" w:sz="4" w:space="0" w:color="auto"/>
              <w:right w:val="single" w:sz="4" w:space="0" w:color="auto"/>
            </w:tcBorders>
            <w:shd w:val="clear" w:color="auto" w:fill="auto"/>
            <w:noWrap/>
            <w:vAlign w:val="center"/>
          </w:tcPr>
          <w:p>
            <w:pPr>
              <w:adjustRightInd w:val="0"/>
              <w:snapToGrid w:val="0"/>
              <w:spacing w:line="240" w:lineRule="auto"/>
              <w:jc w:val="center"/>
              <w:rPr>
                <w:sz w:val="21"/>
              </w:rPr>
            </w:pPr>
            <w:r>
              <w:rPr>
                <w:sz w:val="21"/>
              </w:rPr>
              <w:t>长江生态岸线保护工程</w:t>
            </w:r>
          </w:p>
        </w:tc>
        <w:tc>
          <w:tcPr>
            <w:tcW w:w="2198" w:type="pct"/>
            <w:tcBorders>
              <w:top w:val="single" w:sz="4" w:space="0" w:color="auto"/>
              <w:left w:val="single" w:sz="4" w:space="0" w:color="auto"/>
              <w:bottom w:val="single" w:sz="4" w:space="0" w:color="auto"/>
              <w:right w:val="single" w:sz="4" w:space="0" w:color="auto"/>
            </w:tcBorders>
            <w:shd w:val="clear" w:color="auto" w:fill="auto"/>
            <w:noWrap/>
            <w:vAlign w:val="center"/>
          </w:tcPr>
          <w:p>
            <w:pPr>
              <w:adjustRightInd w:val="0"/>
              <w:snapToGrid w:val="0"/>
              <w:spacing w:line="240" w:lineRule="auto"/>
              <w:ind w:firstLine="420"/>
              <w:rPr>
                <w:sz w:val="21"/>
              </w:rPr>
            </w:pPr>
            <w:r>
              <w:rPr>
                <w:sz w:val="21"/>
              </w:rPr>
              <w:t>落实长江岸线保护和开发利用总体规划，统筹规划长江岸线资源，实行长江干流生态修复和开发总量控制，统筹岸线使用和陆域功能，优化提升干流岸线功能的复合使用，实施防护林带建设和滨江岸线复绿增绿工程。</w:t>
            </w:r>
          </w:p>
        </w:tc>
        <w:tc>
          <w:tcPr>
            <w:tcW w:w="418" w:type="pct"/>
            <w:tcBorders>
              <w:top w:val="single" w:sz="4" w:space="0" w:color="auto"/>
              <w:left w:val="single" w:sz="4" w:space="0" w:color="auto"/>
              <w:bottom w:val="single" w:sz="4" w:space="0" w:color="auto"/>
              <w:right w:val="single" w:sz="4" w:space="0" w:color="auto"/>
            </w:tcBorders>
            <w:shd w:val="clear" w:color="auto" w:fill="auto"/>
            <w:noWrap/>
            <w:vAlign w:val="center"/>
          </w:tcPr>
          <w:p>
            <w:pPr>
              <w:adjustRightInd w:val="0"/>
              <w:snapToGrid w:val="0"/>
              <w:spacing w:line="240" w:lineRule="auto"/>
              <w:jc w:val="center"/>
              <w:rPr>
                <w:sz w:val="21"/>
              </w:rPr>
            </w:pPr>
            <w:r>
              <w:rPr>
                <w:sz w:val="21"/>
              </w:rPr>
              <w:t>2023-2025</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tcPr>
          <w:p>
            <w:pPr>
              <w:adjustRightInd w:val="0"/>
              <w:snapToGrid w:val="0"/>
              <w:spacing w:line="240" w:lineRule="auto"/>
              <w:jc w:val="center"/>
              <w:rPr>
                <w:sz w:val="21"/>
              </w:rPr>
            </w:pPr>
            <w:r>
              <w:rPr>
                <w:sz w:val="21"/>
              </w:rPr>
              <w:t>500</w:t>
            </w:r>
          </w:p>
        </w:tc>
        <w:tc>
          <w:tcPr>
            <w:tcW w:w="703" w:type="pct"/>
            <w:tcBorders>
              <w:top w:val="single" w:sz="4" w:space="0" w:color="auto"/>
              <w:left w:val="single" w:sz="4" w:space="0" w:color="auto"/>
              <w:bottom w:val="single" w:sz="4" w:space="0" w:color="auto"/>
              <w:right w:val="single" w:sz="4" w:space="0" w:color="auto"/>
            </w:tcBorders>
            <w:shd w:val="clear" w:color="auto" w:fill="auto"/>
            <w:noWrap/>
            <w:vAlign w:val="center"/>
          </w:tcPr>
          <w:p>
            <w:pPr>
              <w:spacing w:line="320" w:lineRule="exact"/>
              <w:jc w:val="center"/>
              <w:rPr>
                <w:sz w:val="21"/>
              </w:rPr>
            </w:pPr>
            <w:r>
              <w:rPr>
                <w:sz w:val="21"/>
              </w:rPr>
              <w:t>区发改委、</w:t>
              <w:tab/>
              <w:t>规划资源分局、区水务局</w:t>
              <w:tab/>
              <w:t>各相关街道、雨花经济开发区</w:t>
            </w:r>
          </w:p>
        </w:tc>
      </w:tr>
      <w:tr>
        <w:trPr>
          <w:trHeight w:val="386"/>
        </w:trPr>
        <w:tc>
          <w:tcPr>
            <w:tcW w:w="287" w:type="pct"/>
            <w:vMerge/>
            <w:tcBorders>
              <w:top w:val="single" w:sz="4" w:space="0" w:color="auto"/>
              <w:left w:val="single" w:sz="4" w:space="0" w:color="auto"/>
              <w:bottom w:val="single" w:sz="4" w:space="0" w:color="auto"/>
              <w:right w:val="single" w:sz="4" w:space="0" w:color="auto"/>
            </w:tcBorders>
            <w:shd w:val="clear" w:color="auto" w:fill="auto"/>
            <w:noWrap/>
            <w:vAlign w:val="center"/>
          </w:tcPr>
          <w:p/>
        </w:tc>
        <w:tc>
          <w:tcPr>
            <w:tcW w:w="173" w:type="pct"/>
            <w:tcBorders>
              <w:top w:val="single" w:sz="4" w:space="0" w:color="auto"/>
              <w:left w:val="single" w:sz="4" w:space="0" w:color="auto"/>
              <w:bottom w:val="single" w:sz="4" w:space="0" w:color="auto"/>
              <w:right w:val="single" w:sz="4" w:space="0" w:color="auto"/>
            </w:tcBorders>
            <w:shd w:val="clear" w:color="auto" w:fill="auto"/>
            <w:noWrap/>
            <w:vAlign w:val="center"/>
          </w:tcPr>
          <w:p>
            <w:pPr>
              <w:numPr>
                <w:ilvl w:val="0"/>
                <w:numId w:val="11"/>
              </w:numPr>
              <w:adjustRightInd w:val="0"/>
              <w:snapToGrid w:val="0"/>
              <w:spacing w:line="240" w:lineRule="auto"/>
              <w:ind w:left="0" w:firstLine="0"/>
              <w:jc w:val="center"/>
              <w:rPr>
                <w:sz w:val="21"/>
              </w:rPr>
            </w:pPr>
          </w:p>
        </w:tc>
        <w:tc>
          <w:tcPr>
            <w:tcW w:w="798" w:type="pct"/>
            <w:tcBorders>
              <w:top w:val="single" w:sz="4" w:space="0" w:color="auto"/>
              <w:left w:val="single" w:sz="4" w:space="0" w:color="auto"/>
              <w:bottom w:val="single" w:sz="4" w:space="0" w:color="auto"/>
              <w:right w:val="single" w:sz="4" w:space="0" w:color="auto"/>
            </w:tcBorders>
            <w:shd w:val="clear" w:color="auto" w:fill="auto"/>
            <w:noWrap/>
            <w:vAlign w:val="center"/>
          </w:tcPr>
          <w:p>
            <w:pPr>
              <w:adjustRightInd w:val="0"/>
              <w:snapToGrid w:val="0"/>
              <w:spacing w:line="240" w:lineRule="auto"/>
              <w:jc w:val="center"/>
              <w:rPr>
                <w:sz w:val="21"/>
              </w:rPr>
            </w:pPr>
            <w:r>
              <w:rPr>
                <w:sz w:val="21"/>
              </w:rPr>
              <w:t>湿地保护修复工程</w:t>
            </w:r>
          </w:p>
        </w:tc>
        <w:tc>
          <w:tcPr>
            <w:tcW w:w="2198" w:type="pct"/>
            <w:tcBorders>
              <w:top w:val="single" w:sz="4" w:space="0" w:color="auto"/>
              <w:left w:val="single" w:sz="4" w:space="0" w:color="auto"/>
              <w:bottom w:val="single" w:sz="4" w:space="0" w:color="auto"/>
              <w:right w:val="single" w:sz="4" w:space="0" w:color="auto"/>
            </w:tcBorders>
            <w:shd w:val="clear" w:color="auto" w:fill="auto"/>
            <w:noWrap/>
            <w:vAlign w:val="center"/>
          </w:tcPr>
          <w:p>
            <w:pPr>
              <w:adjustRightInd w:val="0"/>
              <w:snapToGrid w:val="0"/>
              <w:spacing w:line="240" w:lineRule="auto"/>
              <w:ind w:firstLine="420"/>
              <w:rPr>
                <w:sz w:val="21"/>
              </w:rPr>
            </w:pPr>
            <w:r>
              <w:rPr>
                <w:sz w:val="21"/>
              </w:rPr>
              <w:t>推进三桥湿地二期建设，完成市下达湿地保护修复任务。</w:t>
            </w:r>
          </w:p>
        </w:tc>
        <w:tc>
          <w:tcPr>
            <w:tcW w:w="418" w:type="pct"/>
            <w:tcBorders>
              <w:top w:val="single" w:sz="4" w:space="0" w:color="auto"/>
              <w:left w:val="single" w:sz="4" w:space="0" w:color="auto"/>
              <w:bottom w:val="single" w:sz="4" w:space="0" w:color="auto"/>
              <w:right w:val="single" w:sz="4" w:space="0" w:color="auto"/>
            </w:tcBorders>
            <w:shd w:val="clear" w:color="auto" w:fill="auto"/>
            <w:noWrap/>
            <w:vAlign w:val="center"/>
          </w:tcPr>
          <w:p>
            <w:pPr>
              <w:adjustRightInd w:val="0"/>
              <w:snapToGrid w:val="0"/>
              <w:spacing w:line="240" w:lineRule="auto"/>
              <w:jc w:val="center"/>
              <w:rPr>
                <w:sz w:val="21"/>
              </w:rPr>
            </w:pPr>
            <w:r>
              <w:rPr>
                <w:sz w:val="21"/>
              </w:rPr>
              <w:t>2023-2026</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tcPr>
          <w:p>
            <w:pPr>
              <w:adjustRightInd w:val="0"/>
              <w:snapToGrid w:val="0"/>
              <w:spacing w:line="240" w:lineRule="auto"/>
              <w:jc w:val="center"/>
              <w:rPr>
                <w:sz w:val="21"/>
              </w:rPr>
            </w:pPr>
            <w:r>
              <w:rPr>
                <w:sz w:val="21"/>
              </w:rPr>
              <w:t>400</w:t>
            </w:r>
          </w:p>
        </w:tc>
        <w:tc>
          <w:tcPr>
            <w:tcW w:w="703" w:type="pct"/>
            <w:tcBorders>
              <w:top w:val="single" w:sz="4" w:space="0" w:color="auto"/>
              <w:left w:val="single" w:sz="4" w:space="0" w:color="auto"/>
              <w:bottom w:val="single" w:sz="4" w:space="0" w:color="auto"/>
              <w:right w:val="single" w:sz="4" w:space="0" w:color="auto"/>
            </w:tcBorders>
            <w:shd w:val="clear" w:color="auto" w:fill="auto"/>
            <w:noWrap/>
            <w:vAlign w:val="center"/>
          </w:tcPr>
          <w:p>
            <w:pPr>
              <w:spacing w:line="320" w:lineRule="exact"/>
              <w:jc w:val="center"/>
              <w:rPr>
                <w:sz w:val="21"/>
              </w:rPr>
            </w:pPr>
            <w:r>
              <w:rPr>
                <w:sz w:val="21"/>
              </w:rPr>
              <w:t>区农业农村局、雨花经济开发区</w:t>
            </w:r>
          </w:p>
        </w:tc>
      </w:tr>
      <w:tr>
        <w:trPr>
          <w:trHeight w:val="386"/>
        </w:trPr>
        <w:tc>
          <w:tcPr>
            <w:tcW w:w="287" w:type="pct"/>
            <w:vMerge/>
            <w:tcBorders>
              <w:top w:val="single" w:sz="4" w:space="0" w:color="auto"/>
              <w:left w:val="single" w:sz="4" w:space="0" w:color="auto"/>
              <w:bottom w:val="single" w:sz="4" w:space="0" w:color="auto"/>
              <w:right w:val="single" w:sz="4" w:space="0" w:color="auto"/>
            </w:tcBorders>
            <w:shd w:val="clear" w:color="auto" w:fill="auto"/>
            <w:noWrap/>
            <w:vAlign w:val="center"/>
          </w:tcPr>
          <w:p/>
        </w:tc>
        <w:tc>
          <w:tcPr>
            <w:tcW w:w="173" w:type="pct"/>
            <w:tcBorders>
              <w:top w:val="single" w:sz="4" w:space="0" w:color="auto"/>
              <w:left w:val="single" w:sz="4" w:space="0" w:color="auto"/>
              <w:bottom w:val="single" w:sz="4" w:space="0" w:color="auto"/>
              <w:right w:val="single" w:sz="4" w:space="0" w:color="auto"/>
            </w:tcBorders>
            <w:shd w:val="clear" w:color="auto" w:fill="auto"/>
            <w:noWrap/>
            <w:vAlign w:val="center"/>
          </w:tcPr>
          <w:p>
            <w:pPr>
              <w:numPr>
                <w:ilvl w:val="0"/>
                <w:numId w:val="11"/>
              </w:numPr>
              <w:adjustRightInd w:val="0"/>
              <w:snapToGrid w:val="0"/>
              <w:spacing w:line="240" w:lineRule="auto"/>
              <w:ind w:left="0" w:firstLine="0"/>
              <w:jc w:val="center"/>
              <w:rPr>
                <w:sz w:val="21"/>
              </w:rPr>
            </w:pPr>
          </w:p>
        </w:tc>
        <w:tc>
          <w:tcPr>
            <w:tcW w:w="798" w:type="pct"/>
            <w:tcBorders>
              <w:top w:val="single" w:sz="4" w:space="0" w:color="auto"/>
              <w:left w:val="single" w:sz="4" w:space="0" w:color="auto"/>
              <w:bottom w:val="single" w:sz="4" w:space="0" w:color="auto"/>
              <w:right w:val="single" w:sz="4" w:space="0" w:color="auto"/>
            </w:tcBorders>
            <w:shd w:val="clear" w:color="auto" w:fill="auto"/>
            <w:noWrap/>
            <w:vAlign w:val="center"/>
          </w:tcPr>
          <w:p>
            <w:pPr>
              <w:adjustRightInd w:val="0"/>
              <w:snapToGrid w:val="0"/>
              <w:spacing w:line="240" w:lineRule="auto"/>
              <w:jc w:val="center"/>
              <w:rPr>
                <w:sz w:val="21"/>
              </w:rPr>
            </w:pPr>
            <w:r>
              <w:rPr>
                <w:sz w:val="21"/>
              </w:rPr>
              <w:t>“城绿相融”工程</w:t>
            </w:r>
          </w:p>
        </w:tc>
        <w:tc>
          <w:tcPr>
            <w:tcW w:w="2198" w:type="pct"/>
            <w:tcBorders>
              <w:top w:val="single" w:sz="4" w:space="0" w:color="auto"/>
              <w:left w:val="single" w:sz="4" w:space="0" w:color="auto"/>
              <w:bottom w:val="single" w:sz="4" w:space="0" w:color="auto"/>
              <w:right w:val="single" w:sz="4" w:space="0" w:color="auto"/>
            </w:tcBorders>
            <w:shd w:val="clear" w:color="auto" w:fill="auto"/>
            <w:noWrap/>
            <w:vAlign w:val="center"/>
          </w:tcPr>
          <w:p>
            <w:pPr>
              <w:adjustRightInd w:val="0"/>
              <w:snapToGrid w:val="0"/>
              <w:spacing w:line="240" w:lineRule="auto"/>
              <w:ind w:firstLine="420"/>
              <w:rPr>
                <w:sz w:val="21"/>
              </w:rPr>
            </w:pPr>
            <w:r>
              <w:rPr>
                <w:sz w:val="21"/>
              </w:rPr>
              <w:t>完成雨花城市公园、雨花南路沿线绿道、西春路小游园等工程。</w:t>
            </w:r>
          </w:p>
        </w:tc>
        <w:tc>
          <w:tcPr>
            <w:tcW w:w="418" w:type="pct"/>
            <w:tcBorders>
              <w:top w:val="single" w:sz="4" w:space="0" w:color="auto"/>
              <w:left w:val="single" w:sz="4" w:space="0" w:color="auto"/>
              <w:bottom w:val="single" w:sz="4" w:space="0" w:color="auto"/>
              <w:right w:val="single" w:sz="4" w:space="0" w:color="auto"/>
            </w:tcBorders>
            <w:shd w:val="clear" w:color="auto" w:fill="auto"/>
            <w:noWrap/>
            <w:vAlign w:val="center"/>
          </w:tcPr>
          <w:p>
            <w:pPr>
              <w:adjustRightInd w:val="0"/>
              <w:snapToGrid w:val="0"/>
              <w:spacing w:line="240" w:lineRule="auto"/>
              <w:jc w:val="center"/>
              <w:rPr>
                <w:sz w:val="21"/>
              </w:rPr>
            </w:pPr>
            <w:r>
              <w:rPr>
                <w:sz w:val="21"/>
              </w:rPr>
              <w:t>2023-2025</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tcPr>
          <w:p>
            <w:pPr>
              <w:adjustRightInd w:val="0"/>
              <w:snapToGrid w:val="0"/>
              <w:spacing w:line="240" w:lineRule="auto"/>
              <w:jc w:val="center"/>
              <w:rPr>
                <w:sz w:val="21"/>
              </w:rPr>
            </w:pPr>
            <w:r>
              <w:rPr>
                <w:sz w:val="21"/>
              </w:rPr>
              <w:t>44662</w:t>
            </w:r>
          </w:p>
        </w:tc>
        <w:tc>
          <w:tcPr>
            <w:tcW w:w="703" w:type="pct"/>
            <w:tcBorders>
              <w:top w:val="single" w:sz="4" w:space="0" w:color="auto"/>
              <w:left w:val="single" w:sz="4" w:space="0" w:color="auto"/>
              <w:bottom w:val="single" w:sz="4" w:space="0" w:color="auto"/>
              <w:right w:val="single" w:sz="4" w:space="0" w:color="auto"/>
            </w:tcBorders>
            <w:shd w:val="clear" w:color="auto" w:fill="auto"/>
            <w:noWrap/>
            <w:vAlign w:val="center"/>
          </w:tcPr>
          <w:p>
            <w:pPr>
              <w:spacing w:line="320" w:lineRule="exact"/>
              <w:jc w:val="center"/>
              <w:rPr>
                <w:sz w:val="21"/>
              </w:rPr>
            </w:pPr>
            <w:r>
              <w:rPr>
                <w:sz w:val="21"/>
              </w:rPr>
              <w:t>区农业农村局</w:t>
              <w:tab/>
              <w:tab/>
              <w:t>、各相关街道、新城规建办、软件谷</w:t>
            </w:r>
          </w:p>
        </w:tc>
      </w:tr>
      <w:tr>
        <w:trPr>
          <w:trHeight w:val="386"/>
        </w:trPr>
        <w:tc>
          <w:tcPr>
            <w:tcW w:w="287" w:type="pct"/>
            <w:vMerge/>
            <w:tcBorders>
              <w:top w:val="single" w:sz="4" w:space="0" w:color="auto"/>
              <w:left w:val="single" w:sz="4" w:space="0" w:color="auto"/>
              <w:bottom w:val="single" w:sz="4" w:space="0" w:color="auto"/>
              <w:right w:val="single" w:sz="4" w:space="0" w:color="auto"/>
            </w:tcBorders>
            <w:shd w:val="clear" w:color="auto" w:fill="auto"/>
            <w:noWrap/>
            <w:vAlign w:val="center"/>
          </w:tcPr>
          <w:p/>
        </w:tc>
        <w:tc>
          <w:tcPr>
            <w:tcW w:w="173" w:type="pct"/>
            <w:tcBorders>
              <w:top w:val="single" w:sz="4" w:space="0" w:color="auto"/>
              <w:left w:val="single" w:sz="4" w:space="0" w:color="auto"/>
              <w:bottom w:val="single" w:sz="4" w:space="0" w:color="auto"/>
              <w:right w:val="single" w:sz="4" w:space="0" w:color="auto"/>
            </w:tcBorders>
            <w:shd w:val="clear" w:color="auto" w:fill="auto"/>
            <w:noWrap/>
            <w:vAlign w:val="center"/>
          </w:tcPr>
          <w:p>
            <w:pPr>
              <w:numPr>
                <w:ilvl w:val="0"/>
                <w:numId w:val="11"/>
              </w:numPr>
              <w:adjustRightInd w:val="0"/>
              <w:snapToGrid w:val="0"/>
              <w:spacing w:line="240" w:lineRule="auto"/>
              <w:ind w:left="0" w:firstLine="0"/>
              <w:jc w:val="center"/>
              <w:rPr>
                <w:sz w:val="21"/>
              </w:rPr>
            </w:pPr>
          </w:p>
        </w:tc>
        <w:tc>
          <w:tcPr>
            <w:tcW w:w="798" w:type="pct"/>
            <w:tcBorders>
              <w:top w:val="single" w:sz="4" w:space="0" w:color="auto"/>
              <w:left w:val="single" w:sz="4" w:space="0" w:color="auto"/>
              <w:bottom w:val="single" w:sz="4" w:space="0" w:color="auto"/>
              <w:right w:val="single" w:sz="4" w:space="0" w:color="auto"/>
            </w:tcBorders>
            <w:shd w:val="clear" w:color="auto" w:fill="auto"/>
            <w:noWrap/>
            <w:vAlign w:val="center"/>
          </w:tcPr>
          <w:p>
            <w:pPr>
              <w:adjustRightInd w:val="0"/>
              <w:snapToGrid w:val="0"/>
              <w:spacing w:line="240" w:lineRule="auto"/>
              <w:jc w:val="center"/>
              <w:rPr>
                <w:sz w:val="21"/>
              </w:rPr>
            </w:pPr>
            <w:r>
              <w:rPr>
                <w:sz w:val="21"/>
              </w:rPr>
              <w:t>开展国土绿化行动</w:t>
            </w:r>
          </w:p>
        </w:tc>
        <w:tc>
          <w:tcPr>
            <w:tcW w:w="2198" w:type="pct"/>
            <w:tcBorders>
              <w:top w:val="single" w:sz="4" w:space="0" w:color="auto"/>
              <w:left w:val="single" w:sz="4" w:space="0" w:color="auto"/>
              <w:bottom w:val="single" w:sz="4" w:space="0" w:color="auto"/>
              <w:right w:val="single" w:sz="4" w:space="0" w:color="auto"/>
            </w:tcBorders>
            <w:shd w:val="clear" w:color="auto" w:fill="auto"/>
            <w:noWrap/>
            <w:vAlign w:val="center"/>
          </w:tcPr>
          <w:p>
            <w:pPr>
              <w:adjustRightInd w:val="0"/>
              <w:snapToGrid w:val="0"/>
              <w:spacing w:line="240" w:lineRule="auto"/>
              <w:ind w:firstLine="420"/>
              <w:rPr>
                <w:sz w:val="21"/>
              </w:rPr>
            </w:pPr>
            <w:r>
              <w:rPr>
                <w:sz w:val="21"/>
              </w:rPr>
              <w:t>秦淮新河百里风光带、雨核线性公园等20个绿化项目建设。</w:t>
            </w:r>
          </w:p>
        </w:tc>
        <w:tc>
          <w:tcPr>
            <w:tcW w:w="418" w:type="pct"/>
            <w:tcBorders>
              <w:top w:val="single" w:sz="4" w:space="0" w:color="auto"/>
              <w:left w:val="single" w:sz="4" w:space="0" w:color="auto"/>
              <w:bottom w:val="single" w:sz="4" w:space="0" w:color="auto"/>
              <w:right w:val="single" w:sz="4" w:space="0" w:color="auto"/>
            </w:tcBorders>
            <w:shd w:val="clear" w:color="auto" w:fill="auto"/>
            <w:noWrap/>
            <w:vAlign w:val="center"/>
          </w:tcPr>
          <w:p>
            <w:pPr>
              <w:adjustRightInd w:val="0"/>
              <w:snapToGrid w:val="0"/>
              <w:spacing w:line="240" w:lineRule="auto"/>
              <w:jc w:val="center"/>
              <w:rPr>
                <w:sz w:val="21"/>
              </w:rPr>
            </w:pPr>
            <w:r>
              <w:rPr>
                <w:sz w:val="21"/>
              </w:rPr>
              <w:t>2023-2025</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tcPr>
          <w:p>
            <w:pPr>
              <w:adjustRightInd w:val="0"/>
              <w:snapToGrid w:val="0"/>
              <w:spacing w:line="240" w:lineRule="auto"/>
              <w:jc w:val="center"/>
              <w:rPr>
                <w:sz w:val="21"/>
              </w:rPr>
            </w:pPr>
            <w:r>
              <w:rPr>
                <w:sz w:val="21"/>
              </w:rPr>
              <w:t>90242</w:t>
            </w:r>
          </w:p>
        </w:tc>
        <w:tc>
          <w:tcPr>
            <w:tcW w:w="703" w:type="pct"/>
            <w:tcBorders>
              <w:top w:val="single" w:sz="4" w:space="0" w:color="auto"/>
              <w:left w:val="single" w:sz="4" w:space="0" w:color="auto"/>
              <w:bottom w:val="single" w:sz="4" w:space="0" w:color="auto"/>
              <w:right w:val="single" w:sz="4" w:space="0" w:color="auto"/>
            </w:tcBorders>
            <w:shd w:val="clear" w:color="auto" w:fill="auto"/>
            <w:noWrap/>
            <w:vAlign w:val="center"/>
          </w:tcPr>
          <w:p>
            <w:pPr>
              <w:spacing w:line="320" w:lineRule="exact"/>
              <w:jc w:val="center"/>
              <w:rPr>
                <w:sz w:val="21"/>
              </w:rPr>
            </w:pPr>
            <w:r>
              <w:rPr>
                <w:sz w:val="21"/>
              </w:rPr>
              <w:t>区农业农村局</w:t>
              <w:tab/>
              <w:tab/>
              <w:t>、各相关街道、新城规建办、软件谷、雨花经济开发区</w:t>
            </w:r>
          </w:p>
        </w:tc>
      </w:tr>
      <w:tr>
        <w:trPr>
          <w:trHeight w:val="386"/>
        </w:trPr>
        <w:tc>
          <w:tcPr>
            <w:tcW w:w="287" w:type="pct"/>
            <w:vMerge/>
            <w:tcBorders>
              <w:top w:val="single" w:sz="4" w:space="0" w:color="auto"/>
              <w:left w:val="single" w:sz="4" w:space="0" w:color="auto"/>
              <w:bottom w:val="single" w:sz="4" w:space="0" w:color="auto"/>
              <w:right w:val="single" w:sz="4" w:space="0" w:color="auto"/>
            </w:tcBorders>
            <w:shd w:val="clear" w:color="auto" w:fill="auto"/>
            <w:noWrap/>
            <w:vAlign w:val="center"/>
          </w:tcPr>
          <w:p/>
        </w:tc>
        <w:tc>
          <w:tcPr>
            <w:tcW w:w="173" w:type="pct"/>
            <w:tcBorders>
              <w:top w:val="single" w:sz="4" w:space="0" w:color="auto"/>
              <w:left w:val="single" w:sz="4" w:space="0" w:color="auto"/>
              <w:bottom w:val="single" w:sz="4" w:space="0" w:color="auto"/>
              <w:right w:val="single" w:sz="4" w:space="0" w:color="auto"/>
            </w:tcBorders>
            <w:shd w:val="clear" w:color="auto" w:fill="auto"/>
            <w:noWrap/>
            <w:vAlign w:val="center"/>
          </w:tcPr>
          <w:p>
            <w:pPr>
              <w:numPr>
                <w:ilvl w:val="0"/>
                <w:numId w:val="11"/>
              </w:numPr>
              <w:adjustRightInd w:val="0"/>
              <w:snapToGrid w:val="0"/>
              <w:spacing w:line="240" w:lineRule="auto"/>
              <w:ind w:left="0" w:firstLine="0"/>
              <w:jc w:val="center"/>
              <w:rPr>
                <w:sz w:val="21"/>
              </w:rPr>
            </w:pPr>
          </w:p>
        </w:tc>
        <w:tc>
          <w:tcPr>
            <w:tcW w:w="798" w:type="pct"/>
            <w:tcBorders>
              <w:top w:val="single" w:sz="4" w:space="0" w:color="auto"/>
              <w:left w:val="single" w:sz="4" w:space="0" w:color="auto"/>
              <w:bottom w:val="single" w:sz="4" w:space="0" w:color="auto"/>
              <w:right w:val="single" w:sz="4" w:space="0" w:color="auto"/>
            </w:tcBorders>
            <w:shd w:val="clear" w:color="auto" w:fill="auto"/>
            <w:noWrap/>
            <w:vAlign w:val="center"/>
          </w:tcPr>
          <w:p>
            <w:pPr>
              <w:adjustRightInd w:val="0"/>
              <w:snapToGrid w:val="0"/>
              <w:spacing w:line="240" w:lineRule="auto"/>
              <w:jc w:val="center"/>
              <w:rPr>
                <w:sz w:val="21"/>
              </w:rPr>
            </w:pPr>
            <w:r>
              <w:rPr>
                <w:sz w:val="21"/>
              </w:rPr>
              <w:t>落实长江“十年”禁渔</w:t>
            </w:r>
          </w:p>
        </w:tc>
        <w:tc>
          <w:tcPr>
            <w:tcW w:w="2198" w:type="pct"/>
            <w:tcBorders>
              <w:top w:val="single" w:sz="4" w:space="0" w:color="auto"/>
              <w:left w:val="single" w:sz="4" w:space="0" w:color="auto"/>
              <w:bottom w:val="single" w:sz="4" w:space="0" w:color="auto"/>
              <w:right w:val="single" w:sz="4" w:space="0" w:color="auto"/>
            </w:tcBorders>
            <w:shd w:val="clear" w:color="auto" w:fill="auto"/>
            <w:noWrap/>
            <w:vAlign w:val="center"/>
          </w:tcPr>
          <w:p>
            <w:pPr>
              <w:adjustRightInd w:val="0"/>
              <w:snapToGrid w:val="0"/>
              <w:spacing w:line="240" w:lineRule="auto"/>
              <w:ind w:firstLine="420"/>
              <w:rPr>
                <w:sz w:val="21"/>
              </w:rPr>
            </w:pPr>
            <w:r>
              <w:rPr>
                <w:sz w:val="21"/>
              </w:rPr>
              <w:t>建成禁渔综合管理平台，落实网格化监管要求，明确“首违不罚”柔性执法模式，建设违法信息管理系统，构建技防为主、人防为辅，多部门协作快速反应的水陆空防控网，确保对违禁行为及时发现、及时处理。</w:t>
            </w:r>
          </w:p>
        </w:tc>
        <w:tc>
          <w:tcPr>
            <w:tcW w:w="418" w:type="pct"/>
            <w:tcBorders>
              <w:top w:val="single" w:sz="4" w:space="0" w:color="auto"/>
              <w:left w:val="single" w:sz="4" w:space="0" w:color="auto"/>
              <w:bottom w:val="single" w:sz="4" w:space="0" w:color="auto"/>
              <w:right w:val="single" w:sz="4" w:space="0" w:color="auto"/>
            </w:tcBorders>
            <w:shd w:val="clear" w:color="auto" w:fill="auto"/>
            <w:noWrap/>
            <w:vAlign w:val="center"/>
          </w:tcPr>
          <w:p>
            <w:pPr>
              <w:adjustRightInd w:val="0"/>
              <w:snapToGrid w:val="0"/>
              <w:spacing w:line="240" w:lineRule="auto"/>
              <w:jc w:val="center"/>
              <w:rPr>
                <w:sz w:val="21"/>
              </w:rPr>
            </w:pPr>
            <w:r>
              <w:rPr>
                <w:sz w:val="21"/>
              </w:rPr>
              <w:t>2023-2030</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tcPr>
          <w:p>
            <w:pPr>
              <w:adjustRightInd w:val="0"/>
              <w:snapToGrid w:val="0"/>
              <w:spacing w:line="240" w:lineRule="auto"/>
              <w:jc w:val="center"/>
              <w:rPr>
                <w:sz w:val="21"/>
              </w:rPr>
            </w:pPr>
            <w:r>
              <w:rPr>
                <w:sz w:val="21"/>
              </w:rPr>
              <w:t>500</w:t>
            </w:r>
          </w:p>
        </w:tc>
        <w:tc>
          <w:tcPr>
            <w:tcW w:w="703" w:type="pct"/>
            <w:tcBorders>
              <w:top w:val="single" w:sz="4" w:space="0" w:color="auto"/>
              <w:left w:val="single" w:sz="4" w:space="0" w:color="auto"/>
              <w:bottom w:val="single" w:sz="4" w:space="0" w:color="auto"/>
              <w:right w:val="single" w:sz="4" w:space="0" w:color="auto"/>
            </w:tcBorders>
            <w:shd w:val="clear" w:color="auto" w:fill="auto"/>
            <w:noWrap/>
            <w:vAlign w:val="center"/>
          </w:tcPr>
          <w:p>
            <w:pPr>
              <w:spacing w:line="320" w:lineRule="exact"/>
              <w:jc w:val="center"/>
              <w:rPr>
                <w:sz w:val="21"/>
              </w:rPr>
            </w:pPr>
            <w:r>
              <w:rPr>
                <w:sz w:val="21"/>
              </w:rPr>
              <w:t>区农业农村局、公安分局、区市场监督管理局</w:t>
            </w:r>
          </w:p>
        </w:tc>
      </w:tr>
      <w:tr>
        <w:trPr>
          <w:trHeight w:val="386"/>
        </w:trPr>
        <w:tc>
          <w:tcPr>
            <w:tcW w:w="287" w:type="pct"/>
            <w:vMerge/>
            <w:tcBorders>
              <w:top w:val="single" w:sz="4" w:space="0" w:color="auto"/>
              <w:left w:val="single" w:sz="4" w:space="0" w:color="auto"/>
              <w:bottom w:val="single" w:sz="4" w:space="0" w:color="auto"/>
              <w:right w:val="single" w:sz="4" w:space="0" w:color="auto"/>
            </w:tcBorders>
            <w:shd w:val="clear" w:color="auto" w:fill="auto"/>
            <w:noWrap/>
            <w:vAlign w:val="center"/>
          </w:tcPr>
          <w:p/>
        </w:tc>
        <w:tc>
          <w:tcPr>
            <w:tcW w:w="173" w:type="pct"/>
            <w:tcBorders>
              <w:top w:val="single" w:sz="4" w:space="0" w:color="auto"/>
              <w:left w:val="single" w:sz="4" w:space="0" w:color="auto"/>
              <w:bottom w:val="single" w:sz="4" w:space="0" w:color="auto"/>
              <w:right w:val="single" w:sz="4" w:space="0" w:color="auto"/>
            </w:tcBorders>
            <w:shd w:val="clear" w:color="auto" w:fill="auto"/>
            <w:noWrap/>
            <w:vAlign w:val="center"/>
          </w:tcPr>
          <w:p>
            <w:pPr>
              <w:numPr>
                <w:ilvl w:val="0"/>
                <w:numId w:val="11"/>
              </w:numPr>
              <w:adjustRightInd w:val="0"/>
              <w:snapToGrid w:val="0"/>
              <w:spacing w:line="240" w:lineRule="auto"/>
              <w:ind w:left="0" w:firstLine="0"/>
              <w:jc w:val="center"/>
              <w:rPr>
                <w:sz w:val="21"/>
              </w:rPr>
            </w:pPr>
          </w:p>
        </w:tc>
        <w:tc>
          <w:tcPr>
            <w:tcW w:w="798" w:type="pct"/>
            <w:tcBorders>
              <w:top w:val="single" w:sz="4" w:space="0" w:color="auto"/>
              <w:left w:val="single" w:sz="4" w:space="0" w:color="auto"/>
              <w:bottom w:val="single" w:sz="4" w:space="0" w:color="auto"/>
              <w:right w:val="single" w:sz="4" w:space="0" w:color="auto"/>
            </w:tcBorders>
            <w:shd w:val="clear" w:color="auto" w:fill="auto"/>
            <w:noWrap/>
            <w:vAlign w:val="center"/>
          </w:tcPr>
          <w:p>
            <w:pPr>
              <w:adjustRightInd w:val="0"/>
              <w:snapToGrid w:val="0"/>
              <w:spacing w:line="240" w:lineRule="auto"/>
              <w:jc w:val="center"/>
              <w:rPr>
                <w:sz w:val="21"/>
              </w:rPr>
            </w:pPr>
            <w:r>
              <w:rPr>
                <w:sz w:val="21"/>
              </w:rPr>
              <w:t>保护生物多样性</w:t>
            </w:r>
          </w:p>
        </w:tc>
        <w:tc>
          <w:tcPr>
            <w:tcW w:w="2198" w:type="pct"/>
            <w:tcBorders>
              <w:top w:val="single" w:sz="4" w:space="0" w:color="auto"/>
              <w:left w:val="single" w:sz="4" w:space="0" w:color="auto"/>
              <w:bottom w:val="single" w:sz="4" w:space="0" w:color="auto"/>
              <w:right w:val="single" w:sz="4" w:space="0" w:color="auto"/>
            </w:tcBorders>
            <w:shd w:val="clear" w:color="auto" w:fill="auto"/>
            <w:noWrap/>
            <w:vAlign w:val="center"/>
          </w:tcPr>
          <w:p>
            <w:pPr>
              <w:adjustRightInd w:val="0"/>
              <w:snapToGrid w:val="0"/>
              <w:spacing w:line="240" w:lineRule="auto"/>
              <w:ind w:firstLine="420"/>
              <w:rPr>
                <w:sz w:val="21"/>
              </w:rPr>
            </w:pPr>
            <w:r>
              <w:rPr>
                <w:sz w:val="21"/>
              </w:rPr>
              <w:t>配合市级重点保护长江大胜关长吻鮠铜鱼水产种质资源、长江江豚等珍稀濒危物种及其栖息环境调查、监测和保护；配合市级完成重点水生河湖水生态调查评估工作。</w:t>
            </w:r>
          </w:p>
        </w:tc>
        <w:tc>
          <w:tcPr>
            <w:tcW w:w="418" w:type="pct"/>
            <w:tcBorders>
              <w:top w:val="single" w:sz="4" w:space="0" w:color="auto"/>
              <w:left w:val="single" w:sz="4" w:space="0" w:color="auto"/>
              <w:bottom w:val="single" w:sz="4" w:space="0" w:color="auto"/>
              <w:right w:val="single" w:sz="4" w:space="0" w:color="auto"/>
            </w:tcBorders>
            <w:shd w:val="clear" w:color="auto" w:fill="auto"/>
            <w:noWrap/>
            <w:vAlign w:val="center"/>
          </w:tcPr>
          <w:p>
            <w:pPr>
              <w:adjustRightInd w:val="0"/>
              <w:snapToGrid w:val="0"/>
              <w:spacing w:line="240" w:lineRule="auto"/>
              <w:jc w:val="center"/>
              <w:rPr>
                <w:sz w:val="21"/>
              </w:rPr>
            </w:pPr>
            <w:r>
              <w:rPr>
                <w:sz w:val="21"/>
              </w:rPr>
              <w:t>2023-2030</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tcPr>
          <w:p>
            <w:pPr>
              <w:adjustRightInd w:val="0"/>
              <w:snapToGrid w:val="0"/>
              <w:spacing w:line="240" w:lineRule="auto"/>
              <w:jc w:val="center"/>
              <w:rPr>
                <w:sz w:val="21"/>
              </w:rPr>
            </w:pPr>
            <w:r>
              <w:rPr>
                <w:sz w:val="21"/>
              </w:rPr>
              <w:t>300</w:t>
            </w:r>
          </w:p>
        </w:tc>
        <w:tc>
          <w:tcPr>
            <w:tcW w:w="703" w:type="pct"/>
            <w:tcBorders>
              <w:top w:val="single" w:sz="4" w:space="0" w:color="auto"/>
              <w:left w:val="single" w:sz="4" w:space="0" w:color="auto"/>
              <w:bottom w:val="single" w:sz="4" w:space="0" w:color="auto"/>
              <w:right w:val="single" w:sz="4" w:space="0" w:color="auto"/>
            </w:tcBorders>
            <w:shd w:val="clear" w:color="auto" w:fill="auto"/>
            <w:noWrap/>
            <w:vAlign w:val="center"/>
          </w:tcPr>
          <w:p>
            <w:pPr>
              <w:spacing w:line="320" w:lineRule="exact"/>
              <w:jc w:val="center"/>
              <w:rPr>
                <w:sz w:val="21"/>
              </w:rPr>
            </w:pPr>
            <w:r>
              <w:rPr>
                <w:sz w:val="21"/>
              </w:rPr>
              <w:t>区农业农村局、雨花台生态环境局</w:t>
            </w:r>
          </w:p>
        </w:tc>
      </w:tr>
      <w:tr>
        <w:trPr>
          <w:trHeight w:val="340"/>
        </w:trPr>
        <w:tc>
          <w:tcPr>
            <w:tcW w:w="287"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spacing w:line="240" w:lineRule="auto"/>
              <w:jc w:val="center"/>
              <w:rPr>
                <w:sz w:val="21"/>
              </w:rPr>
            </w:pPr>
            <w:r>
              <w:rPr>
                <w:sz w:val="21"/>
              </w:rPr>
              <w:t>生态经济培育工程</w:t>
            </w:r>
          </w:p>
        </w:tc>
        <w:tc>
          <w:tcPr>
            <w:tcW w:w="173" w:type="pct"/>
            <w:tcBorders>
              <w:top w:val="single" w:sz="4" w:space="0" w:color="auto"/>
              <w:left w:val="single" w:sz="4" w:space="0" w:color="auto"/>
              <w:bottom w:val="single" w:sz="4" w:space="0" w:color="auto"/>
              <w:right w:val="single" w:sz="4" w:space="0" w:color="auto"/>
            </w:tcBorders>
            <w:shd w:val="clear" w:color="auto" w:fill="auto"/>
            <w:noWrap/>
            <w:vAlign w:val="center"/>
          </w:tcPr>
          <w:p>
            <w:pPr>
              <w:numPr>
                <w:ilvl w:val="0"/>
                <w:numId w:val="11"/>
              </w:numPr>
              <w:adjustRightInd w:val="0"/>
              <w:snapToGrid w:val="0"/>
              <w:spacing w:line="240" w:lineRule="auto"/>
              <w:ind w:left="0" w:firstLine="0"/>
              <w:jc w:val="center"/>
              <w:rPr>
                <w:sz w:val="21"/>
              </w:rPr>
            </w:pPr>
          </w:p>
        </w:tc>
        <w:tc>
          <w:tcPr>
            <w:tcW w:w="798" w:type="pct"/>
            <w:tcBorders>
              <w:top w:val="single" w:sz="4" w:space="0" w:color="auto"/>
              <w:left w:val="single" w:sz="4" w:space="0" w:color="auto"/>
              <w:bottom w:val="single" w:sz="4" w:space="0" w:color="auto"/>
              <w:right w:val="single" w:sz="4" w:space="0" w:color="auto"/>
            </w:tcBorders>
            <w:shd w:val="clear" w:color="auto" w:fill="auto"/>
            <w:noWrap/>
            <w:vAlign w:val="center"/>
          </w:tcPr>
          <w:p>
            <w:pPr>
              <w:adjustRightInd w:val="0"/>
              <w:snapToGrid w:val="0"/>
              <w:spacing w:line="240" w:lineRule="auto"/>
              <w:jc w:val="center"/>
              <w:rPr>
                <w:sz w:val="21"/>
              </w:rPr>
            </w:pPr>
            <w:r>
              <w:rPr>
                <w:sz w:val="21"/>
              </w:rPr>
              <w:t>全面推行清洁生产</w:t>
            </w:r>
          </w:p>
        </w:tc>
        <w:tc>
          <w:tcPr>
            <w:tcW w:w="2198" w:type="pct"/>
            <w:tcBorders>
              <w:top w:val="single" w:sz="4" w:space="0" w:color="auto"/>
              <w:left w:val="single" w:sz="4" w:space="0" w:color="auto"/>
              <w:bottom w:val="single" w:sz="4" w:space="0" w:color="auto"/>
              <w:right w:val="single" w:sz="4" w:space="0" w:color="auto"/>
            </w:tcBorders>
            <w:shd w:val="clear" w:color="auto" w:fill="auto"/>
            <w:noWrap/>
            <w:vAlign w:val="center"/>
          </w:tcPr>
          <w:p>
            <w:pPr>
              <w:adjustRightInd w:val="0"/>
              <w:snapToGrid w:val="0"/>
              <w:spacing w:line="240" w:lineRule="auto"/>
              <w:ind w:firstLine="420"/>
              <w:rPr>
                <w:sz w:val="21"/>
              </w:rPr>
            </w:pPr>
            <w:r>
              <w:rPr>
                <w:sz w:val="21"/>
              </w:rPr>
              <w:t>全面推行企业开展清洁生产，有序推动13个重点行业及年产生量100吨以上的危险废物产生单位的清洁生产工作。</w:t>
            </w:r>
          </w:p>
        </w:tc>
        <w:tc>
          <w:tcPr>
            <w:tcW w:w="418" w:type="pct"/>
            <w:tcBorders>
              <w:top w:val="single" w:sz="4" w:space="0" w:color="auto"/>
              <w:left w:val="single" w:sz="4" w:space="0" w:color="auto"/>
              <w:bottom w:val="single" w:sz="4" w:space="0" w:color="auto"/>
              <w:right w:val="single" w:sz="4" w:space="0" w:color="auto"/>
            </w:tcBorders>
            <w:shd w:val="clear" w:color="auto" w:fill="auto"/>
            <w:noWrap/>
            <w:vAlign w:val="center"/>
          </w:tcPr>
          <w:p>
            <w:pPr>
              <w:adjustRightInd w:val="0"/>
              <w:snapToGrid w:val="0"/>
              <w:spacing w:line="240" w:lineRule="auto"/>
              <w:jc w:val="center"/>
              <w:rPr>
                <w:sz w:val="21"/>
              </w:rPr>
            </w:pPr>
            <w:r>
              <w:rPr>
                <w:sz w:val="21"/>
              </w:rPr>
              <w:t>2023-2025</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tcPr>
          <w:p>
            <w:pPr>
              <w:adjustRightInd w:val="0"/>
              <w:snapToGrid w:val="0"/>
              <w:spacing w:line="240" w:lineRule="auto"/>
              <w:jc w:val="center"/>
              <w:rPr>
                <w:sz w:val="21"/>
              </w:rPr>
            </w:pPr>
            <w:r>
              <w:rPr>
                <w:sz w:val="21"/>
              </w:rPr>
              <w:t>/</w:t>
            </w:r>
          </w:p>
        </w:tc>
        <w:tc>
          <w:tcPr>
            <w:tcW w:w="703" w:type="pct"/>
            <w:tcBorders>
              <w:top w:val="single" w:sz="4" w:space="0" w:color="auto"/>
              <w:left w:val="single" w:sz="4" w:space="0" w:color="auto"/>
              <w:bottom w:val="single" w:sz="4" w:space="0" w:color="auto"/>
              <w:right w:val="single" w:sz="4" w:space="0" w:color="auto"/>
            </w:tcBorders>
            <w:shd w:val="clear" w:color="auto" w:fill="auto"/>
            <w:noWrap/>
            <w:vAlign w:val="center"/>
          </w:tcPr>
          <w:p>
            <w:pPr>
              <w:adjustRightInd w:val="0"/>
              <w:snapToGrid w:val="0"/>
              <w:spacing w:line="240" w:lineRule="auto"/>
              <w:jc w:val="center"/>
              <w:rPr>
                <w:sz w:val="21"/>
              </w:rPr>
            </w:pPr>
            <w:r>
              <w:rPr>
                <w:bCs/>
                <w:sz w:val="21"/>
              </w:rPr>
              <w:t>雨花台生态环境局、</w:t>
            </w:r>
            <w:r>
              <w:rPr>
                <w:sz w:val="21"/>
              </w:rPr>
              <w:t>相关企业</w:t>
            </w:r>
          </w:p>
        </w:tc>
      </w:tr>
      <w:tr>
        <w:trPr>
          <w:trHeight w:val="340"/>
        </w:trPr>
        <w:tc>
          <w:tcPr>
            <w:tcW w:w="287" w:type="pct"/>
            <w:vMerge/>
            <w:tcBorders>
              <w:top w:val="single" w:sz="4" w:space="0" w:color="auto"/>
              <w:left w:val="single" w:sz="4" w:space="0" w:color="auto"/>
              <w:bottom w:val="single" w:sz="4" w:space="0" w:color="auto"/>
              <w:right w:val="single" w:sz="4" w:space="0" w:color="auto"/>
            </w:tcBorders>
            <w:shd w:val="clear" w:color="auto" w:fill="auto"/>
            <w:noWrap/>
            <w:vAlign w:val="center"/>
          </w:tcPr>
          <w:p/>
        </w:tc>
        <w:tc>
          <w:tcPr>
            <w:tcW w:w="173" w:type="pct"/>
            <w:tcBorders>
              <w:top w:val="single" w:sz="4" w:space="0" w:color="auto"/>
              <w:left w:val="single" w:sz="4" w:space="0" w:color="auto"/>
              <w:bottom w:val="single" w:sz="4" w:space="0" w:color="auto"/>
              <w:right w:val="single" w:sz="4" w:space="0" w:color="auto"/>
            </w:tcBorders>
            <w:shd w:val="clear" w:color="auto" w:fill="auto"/>
            <w:noWrap/>
            <w:vAlign w:val="center"/>
          </w:tcPr>
          <w:p>
            <w:pPr>
              <w:numPr>
                <w:ilvl w:val="0"/>
                <w:numId w:val="11"/>
              </w:numPr>
              <w:adjustRightInd w:val="0"/>
              <w:snapToGrid w:val="0"/>
              <w:spacing w:line="240" w:lineRule="auto"/>
              <w:ind w:left="0" w:firstLine="0"/>
              <w:jc w:val="center"/>
              <w:rPr>
                <w:sz w:val="21"/>
              </w:rPr>
            </w:pPr>
          </w:p>
        </w:tc>
        <w:tc>
          <w:tcPr>
            <w:tcW w:w="798" w:type="pct"/>
            <w:tcBorders>
              <w:top w:val="single" w:sz="4" w:space="0" w:color="auto"/>
              <w:left w:val="single" w:sz="4" w:space="0" w:color="auto"/>
              <w:bottom w:val="single" w:sz="4" w:space="0" w:color="auto"/>
              <w:right w:val="single" w:sz="4" w:space="0" w:color="auto"/>
            </w:tcBorders>
            <w:shd w:val="clear" w:color="auto" w:fill="auto"/>
            <w:noWrap/>
            <w:vAlign w:val="center"/>
          </w:tcPr>
          <w:p>
            <w:pPr>
              <w:adjustRightInd w:val="0"/>
              <w:snapToGrid w:val="0"/>
              <w:spacing w:line="240" w:lineRule="auto"/>
              <w:jc w:val="center"/>
              <w:rPr>
                <w:sz w:val="21"/>
              </w:rPr>
            </w:pPr>
            <w:r>
              <w:rPr>
                <w:sz w:val="21"/>
              </w:rPr>
              <w:t>传统产业绿色转型工程</w:t>
            </w:r>
          </w:p>
        </w:tc>
        <w:tc>
          <w:tcPr>
            <w:tcW w:w="2198" w:type="pct"/>
            <w:tcBorders>
              <w:top w:val="single" w:sz="4" w:space="0" w:color="auto"/>
              <w:left w:val="single" w:sz="4" w:space="0" w:color="auto"/>
              <w:bottom w:val="single" w:sz="4" w:space="0" w:color="auto"/>
              <w:right w:val="single" w:sz="4" w:space="0" w:color="auto"/>
            </w:tcBorders>
            <w:shd w:val="clear" w:color="auto" w:fill="auto"/>
            <w:noWrap/>
            <w:vAlign w:val="center"/>
          </w:tcPr>
          <w:p>
            <w:pPr>
              <w:adjustRightInd w:val="0"/>
              <w:snapToGrid w:val="0"/>
              <w:spacing w:line="240" w:lineRule="auto"/>
              <w:ind w:firstLine="420"/>
              <w:rPr>
                <w:sz w:val="21"/>
              </w:rPr>
            </w:pPr>
            <w:r>
              <w:rPr>
                <w:sz w:val="21"/>
              </w:rPr>
              <w:t>聚焦电力、钢铁、包装印刷和工业涂装等重点行业企业，以能耗、环保、安全和技术等标准约束引导企业实施“绿色厂区”改造。培育宝之云梅山基地等绿色转型示范基地，打造“互联网+先进制造业”生态圈。</w:t>
            </w:r>
          </w:p>
        </w:tc>
        <w:tc>
          <w:tcPr>
            <w:tcW w:w="418" w:type="pct"/>
            <w:tcBorders>
              <w:top w:val="single" w:sz="4" w:space="0" w:color="auto"/>
              <w:left w:val="single" w:sz="4" w:space="0" w:color="auto"/>
              <w:bottom w:val="single" w:sz="4" w:space="0" w:color="auto"/>
              <w:right w:val="single" w:sz="4" w:space="0" w:color="auto"/>
            </w:tcBorders>
            <w:shd w:val="clear" w:color="auto" w:fill="auto"/>
            <w:noWrap/>
            <w:vAlign w:val="center"/>
          </w:tcPr>
          <w:p>
            <w:pPr>
              <w:adjustRightInd w:val="0"/>
              <w:snapToGrid w:val="0"/>
              <w:spacing w:line="240" w:lineRule="auto"/>
              <w:jc w:val="center"/>
              <w:rPr>
                <w:sz w:val="21"/>
              </w:rPr>
            </w:pPr>
            <w:r>
              <w:rPr>
                <w:sz w:val="21"/>
              </w:rPr>
              <w:t>2023-2025</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tcPr>
          <w:p>
            <w:pPr>
              <w:adjustRightInd w:val="0"/>
              <w:snapToGrid w:val="0"/>
              <w:spacing w:line="240" w:lineRule="auto"/>
              <w:jc w:val="center"/>
              <w:rPr>
                <w:sz w:val="21"/>
              </w:rPr>
            </w:pPr>
            <w:r>
              <w:rPr>
                <w:sz w:val="21"/>
              </w:rPr>
              <w:t>5000</w:t>
            </w:r>
          </w:p>
        </w:tc>
        <w:tc>
          <w:tcPr>
            <w:tcW w:w="703" w:type="pct"/>
            <w:tcBorders>
              <w:top w:val="single" w:sz="4" w:space="0" w:color="auto"/>
              <w:left w:val="single" w:sz="4" w:space="0" w:color="auto"/>
              <w:bottom w:val="single" w:sz="4" w:space="0" w:color="auto"/>
              <w:right w:val="single" w:sz="4" w:space="0" w:color="auto"/>
            </w:tcBorders>
            <w:shd w:val="clear" w:color="auto" w:fill="auto"/>
            <w:noWrap/>
            <w:vAlign w:val="center"/>
          </w:tcPr>
          <w:p>
            <w:pPr>
              <w:adjustRightInd w:val="0"/>
              <w:snapToGrid w:val="0"/>
              <w:spacing w:line="240" w:lineRule="auto"/>
              <w:jc w:val="center"/>
              <w:rPr>
                <w:sz w:val="21"/>
              </w:rPr>
            </w:pPr>
            <w:r>
              <w:rPr>
                <w:bCs/>
                <w:sz w:val="21"/>
              </w:rPr>
              <w:t>区发改委、区工信局、各相关街道、雨花经济开发区</w:t>
            </w:r>
          </w:p>
        </w:tc>
      </w:tr>
      <w:tr>
        <w:trPr>
          <w:trHeight w:val="340"/>
        </w:trPr>
        <w:tc>
          <w:tcPr>
            <w:tcW w:w="287" w:type="pct"/>
            <w:vMerge/>
            <w:tcBorders>
              <w:top w:val="single" w:sz="4" w:space="0" w:color="auto"/>
              <w:left w:val="single" w:sz="4" w:space="0" w:color="auto"/>
              <w:bottom w:val="single" w:sz="4" w:space="0" w:color="auto"/>
              <w:right w:val="single" w:sz="4" w:space="0" w:color="auto"/>
            </w:tcBorders>
            <w:shd w:val="clear" w:color="auto" w:fill="auto"/>
            <w:noWrap/>
            <w:vAlign w:val="center"/>
          </w:tcPr>
          <w:p/>
        </w:tc>
        <w:tc>
          <w:tcPr>
            <w:tcW w:w="173" w:type="pct"/>
            <w:tcBorders>
              <w:top w:val="single" w:sz="4" w:space="0" w:color="auto"/>
              <w:left w:val="single" w:sz="4" w:space="0" w:color="auto"/>
              <w:bottom w:val="single" w:sz="4" w:space="0" w:color="auto"/>
              <w:right w:val="single" w:sz="4" w:space="0" w:color="auto"/>
            </w:tcBorders>
            <w:shd w:val="clear" w:color="auto" w:fill="auto"/>
            <w:noWrap/>
            <w:vAlign w:val="center"/>
          </w:tcPr>
          <w:p>
            <w:pPr>
              <w:numPr>
                <w:ilvl w:val="0"/>
                <w:numId w:val="11"/>
              </w:numPr>
              <w:adjustRightInd w:val="0"/>
              <w:snapToGrid w:val="0"/>
              <w:spacing w:line="240" w:lineRule="auto"/>
              <w:ind w:left="0" w:firstLine="0"/>
              <w:jc w:val="center"/>
              <w:rPr>
                <w:sz w:val="21"/>
              </w:rPr>
            </w:pPr>
          </w:p>
        </w:tc>
        <w:tc>
          <w:tcPr>
            <w:tcW w:w="798" w:type="pct"/>
            <w:tcBorders>
              <w:top w:val="single" w:sz="4" w:space="0" w:color="auto"/>
              <w:left w:val="single" w:sz="4" w:space="0" w:color="auto"/>
              <w:bottom w:val="single" w:sz="4" w:space="0" w:color="auto"/>
              <w:right w:val="single" w:sz="4" w:space="0" w:color="auto"/>
            </w:tcBorders>
            <w:shd w:val="clear" w:color="auto" w:fill="auto"/>
            <w:noWrap/>
            <w:vAlign w:val="center"/>
          </w:tcPr>
          <w:p>
            <w:pPr>
              <w:adjustRightInd w:val="0"/>
              <w:snapToGrid w:val="0"/>
              <w:spacing w:line="240" w:lineRule="auto"/>
              <w:jc w:val="center"/>
              <w:rPr>
                <w:sz w:val="21"/>
              </w:rPr>
            </w:pPr>
            <w:r>
              <w:rPr>
                <w:sz w:val="21"/>
              </w:rPr>
              <w:t>绿色制造体系建设</w:t>
            </w:r>
          </w:p>
        </w:tc>
        <w:tc>
          <w:tcPr>
            <w:tcW w:w="2198" w:type="pct"/>
            <w:tcBorders>
              <w:top w:val="single" w:sz="4" w:space="0" w:color="auto"/>
              <w:left w:val="single" w:sz="4" w:space="0" w:color="auto"/>
              <w:bottom w:val="single" w:sz="4" w:space="0" w:color="auto"/>
              <w:right w:val="single" w:sz="4" w:space="0" w:color="auto"/>
            </w:tcBorders>
            <w:shd w:val="clear" w:color="auto" w:fill="auto"/>
            <w:noWrap/>
            <w:vAlign w:val="center"/>
          </w:tcPr>
          <w:p>
            <w:pPr>
              <w:adjustRightInd w:val="0"/>
              <w:snapToGrid w:val="0"/>
              <w:spacing w:line="240" w:lineRule="auto"/>
              <w:ind w:firstLine="420"/>
              <w:rPr>
                <w:sz w:val="21"/>
              </w:rPr>
            </w:pPr>
            <w:r>
              <w:rPr>
                <w:sz w:val="21"/>
              </w:rPr>
              <w:t>到2025年，创建绿色工厂1家。</w:t>
            </w:r>
          </w:p>
        </w:tc>
        <w:tc>
          <w:tcPr>
            <w:tcW w:w="418" w:type="pct"/>
            <w:tcBorders>
              <w:top w:val="single" w:sz="4" w:space="0" w:color="auto"/>
              <w:left w:val="single" w:sz="4" w:space="0" w:color="auto"/>
              <w:bottom w:val="single" w:sz="4" w:space="0" w:color="auto"/>
              <w:right w:val="single" w:sz="4" w:space="0" w:color="auto"/>
            </w:tcBorders>
            <w:shd w:val="clear" w:color="auto" w:fill="auto"/>
            <w:noWrap/>
            <w:vAlign w:val="center"/>
          </w:tcPr>
          <w:p>
            <w:pPr>
              <w:adjustRightInd w:val="0"/>
              <w:snapToGrid w:val="0"/>
              <w:spacing w:line="240" w:lineRule="auto"/>
              <w:jc w:val="center"/>
              <w:rPr>
                <w:sz w:val="21"/>
              </w:rPr>
            </w:pPr>
            <w:r>
              <w:rPr>
                <w:sz w:val="21"/>
              </w:rPr>
              <w:t>2023-2025</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tcPr>
          <w:p>
            <w:pPr>
              <w:adjustRightInd w:val="0"/>
              <w:snapToGrid w:val="0"/>
              <w:spacing w:line="240" w:lineRule="auto"/>
              <w:jc w:val="center"/>
              <w:rPr>
                <w:sz w:val="21"/>
              </w:rPr>
            </w:pPr>
            <w:r>
              <w:rPr>
                <w:sz w:val="21"/>
              </w:rPr>
              <w:t>200</w:t>
            </w:r>
          </w:p>
        </w:tc>
        <w:tc>
          <w:tcPr>
            <w:tcW w:w="703" w:type="pct"/>
            <w:tcBorders>
              <w:top w:val="single" w:sz="4" w:space="0" w:color="auto"/>
              <w:left w:val="single" w:sz="4" w:space="0" w:color="auto"/>
              <w:bottom w:val="single" w:sz="4" w:space="0" w:color="auto"/>
              <w:right w:val="single" w:sz="4" w:space="0" w:color="auto"/>
            </w:tcBorders>
            <w:shd w:val="clear" w:color="auto" w:fill="auto"/>
            <w:noWrap/>
            <w:vAlign w:val="center"/>
          </w:tcPr>
          <w:p>
            <w:pPr>
              <w:adjustRightInd w:val="0"/>
              <w:snapToGrid w:val="0"/>
              <w:spacing w:line="240" w:lineRule="auto"/>
              <w:jc w:val="center"/>
              <w:rPr>
                <w:sz w:val="21"/>
              </w:rPr>
            </w:pPr>
            <w:r>
              <w:rPr>
                <w:sz w:val="21"/>
              </w:rPr>
              <w:t>区工信局</w:t>
            </w:r>
          </w:p>
        </w:tc>
      </w:tr>
      <w:tr>
        <w:trPr>
          <w:trHeight w:val="340"/>
        </w:trPr>
        <w:tc>
          <w:tcPr>
            <w:tcW w:w="287" w:type="pct"/>
            <w:vMerge/>
            <w:tcBorders>
              <w:top w:val="single" w:sz="4" w:space="0" w:color="auto"/>
              <w:left w:val="single" w:sz="4" w:space="0" w:color="auto"/>
              <w:bottom w:val="single" w:sz="4" w:space="0" w:color="auto"/>
              <w:right w:val="single" w:sz="4" w:space="0" w:color="auto"/>
            </w:tcBorders>
            <w:shd w:val="clear" w:color="auto" w:fill="auto"/>
            <w:noWrap/>
            <w:vAlign w:val="center"/>
          </w:tcPr>
          <w:p/>
        </w:tc>
        <w:tc>
          <w:tcPr>
            <w:tcW w:w="173" w:type="pct"/>
            <w:tcBorders>
              <w:top w:val="single" w:sz="4" w:space="0" w:color="auto"/>
              <w:left w:val="single" w:sz="4" w:space="0" w:color="auto"/>
              <w:bottom w:val="single" w:sz="4" w:space="0" w:color="auto"/>
              <w:right w:val="single" w:sz="4" w:space="0" w:color="auto"/>
            </w:tcBorders>
            <w:shd w:val="clear" w:color="auto" w:fill="auto"/>
            <w:noWrap/>
            <w:vAlign w:val="center"/>
          </w:tcPr>
          <w:p>
            <w:pPr>
              <w:numPr>
                <w:ilvl w:val="0"/>
                <w:numId w:val="11"/>
              </w:numPr>
              <w:adjustRightInd w:val="0"/>
              <w:snapToGrid w:val="0"/>
              <w:spacing w:line="240" w:lineRule="auto"/>
              <w:ind w:left="0" w:firstLine="0"/>
              <w:jc w:val="center"/>
              <w:rPr>
                <w:sz w:val="21"/>
              </w:rPr>
            </w:pPr>
          </w:p>
        </w:tc>
        <w:tc>
          <w:tcPr>
            <w:tcW w:w="798" w:type="pct"/>
            <w:tcBorders>
              <w:top w:val="single" w:sz="4" w:space="0" w:color="auto"/>
              <w:left w:val="single" w:sz="4" w:space="0" w:color="auto"/>
              <w:bottom w:val="single" w:sz="4" w:space="0" w:color="auto"/>
              <w:right w:val="single" w:sz="4" w:space="0" w:color="auto"/>
            </w:tcBorders>
            <w:shd w:val="clear" w:color="auto" w:fill="auto"/>
            <w:noWrap/>
            <w:vAlign w:val="center"/>
          </w:tcPr>
          <w:p>
            <w:pPr>
              <w:adjustRightInd w:val="0"/>
              <w:snapToGrid w:val="0"/>
              <w:spacing w:line="240" w:lineRule="auto"/>
              <w:jc w:val="center"/>
              <w:rPr>
                <w:sz w:val="21"/>
              </w:rPr>
            </w:pPr>
            <w:r>
              <w:rPr>
                <w:sz w:val="21"/>
              </w:rPr>
              <w:t>能源配置优化工程</w:t>
            </w:r>
          </w:p>
        </w:tc>
        <w:tc>
          <w:tcPr>
            <w:tcW w:w="2198" w:type="pct"/>
            <w:tcBorders>
              <w:top w:val="single" w:sz="4" w:space="0" w:color="auto"/>
              <w:left w:val="single" w:sz="4" w:space="0" w:color="auto"/>
              <w:bottom w:val="single" w:sz="4" w:space="0" w:color="auto"/>
              <w:right w:val="single" w:sz="4" w:space="0" w:color="auto"/>
            </w:tcBorders>
            <w:shd w:val="clear" w:color="auto" w:fill="auto"/>
            <w:noWrap/>
            <w:vAlign w:val="center"/>
          </w:tcPr>
          <w:p>
            <w:pPr>
              <w:adjustRightInd w:val="0"/>
              <w:snapToGrid w:val="0"/>
              <w:spacing w:line="240" w:lineRule="auto"/>
              <w:ind w:firstLine="420"/>
              <w:rPr>
                <w:sz w:val="21"/>
              </w:rPr>
            </w:pPr>
            <w:r>
              <w:rPr>
                <w:sz w:val="21"/>
              </w:rPr>
              <w:t>实施能源消耗总量和强度双控，梅钢转型升级过渡期间，按照省市要求，持续做好控煤工作。</w:t>
            </w:r>
          </w:p>
        </w:tc>
        <w:tc>
          <w:tcPr>
            <w:tcW w:w="418" w:type="pct"/>
            <w:tcBorders>
              <w:top w:val="single" w:sz="4" w:space="0" w:color="auto"/>
              <w:left w:val="single" w:sz="4" w:space="0" w:color="auto"/>
              <w:bottom w:val="single" w:sz="4" w:space="0" w:color="auto"/>
              <w:right w:val="single" w:sz="4" w:space="0" w:color="auto"/>
            </w:tcBorders>
            <w:shd w:val="clear" w:color="auto" w:fill="auto"/>
            <w:noWrap/>
            <w:vAlign w:val="center"/>
          </w:tcPr>
          <w:p>
            <w:pPr>
              <w:adjustRightInd w:val="0"/>
              <w:snapToGrid w:val="0"/>
              <w:spacing w:line="240" w:lineRule="auto"/>
              <w:jc w:val="center"/>
              <w:rPr>
                <w:sz w:val="21"/>
              </w:rPr>
            </w:pPr>
            <w:r>
              <w:rPr>
                <w:sz w:val="21"/>
              </w:rPr>
              <w:t>2023-2025</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tcPr>
          <w:p>
            <w:pPr>
              <w:adjustRightInd w:val="0"/>
              <w:snapToGrid w:val="0"/>
              <w:spacing w:line="240" w:lineRule="auto"/>
              <w:jc w:val="center"/>
              <w:rPr>
                <w:sz w:val="21"/>
              </w:rPr>
            </w:pPr>
            <w:r>
              <w:rPr>
                <w:sz w:val="21"/>
              </w:rPr>
              <w:t>/</w:t>
            </w:r>
          </w:p>
        </w:tc>
        <w:tc>
          <w:tcPr>
            <w:tcW w:w="703" w:type="pct"/>
            <w:tcBorders>
              <w:top w:val="single" w:sz="4" w:space="0" w:color="auto"/>
              <w:left w:val="single" w:sz="4" w:space="0" w:color="auto"/>
              <w:bottom w:val="single" w:sz="4" w:space="0" w:color="auto"/>
              <w:right w:val="single" w:sz="4" w:space="0" w:color="auto"/>
            </w:tcBorders>
            <w:shd w:val="clear" w:color="auto" w:fill="auto"/>
            <w:noWrap/>
            <w:vAlign w:val="center"/>
          </w:tcPr>
          <w:p>
            <w:pPr>
              <w:adjustRightInd w:val="0"/>
              <w:snapToGrid w:val="0"/>
              <w:spacing w:line="240" w:lineRule="auto"/>
              <w:rPr>
                <w:sz w:val="21"/>
              </w:rPr>
            </w:pPr>
            <w:r>
              <w:rPr>
                <w:sz w:val="21"/>
              </w:rPr>
              <w:t>区发改委、区工信局、各相关街道、雨花经济开发区</w:t>
            </w:r>
          </w:p>
        </w:tc>
      </w:tr>
      <w:tr>
        <w:trPr>
          <w:trHeight w:val="340"/>
        </w:trPr>
        <w:tc>
          <w:tcPr>
            <w:tcW w:w="287" w:type="pct"/>
            <w:vMerge/>
            <w:tcBorders>
              <w:top w:val="single" w:sz="4" w:space="0" w:color="auto"/>
              <w:left w:val="single" w:sz="4" w:space="0" w:color="auto"/>
              <w:bottom w:val="single" w:sz="4" w:space="0" w:color="auto"/>
              <w:right w:val="single" w:sz="4" w:space="0" w:color="auto"/>
            </w:tcBorders>
            <w:shd w:val="clear" w:color="auto" w:fill="auto"/>
            <w:noWrap/>
            <w:vAlign w:val="center"/>
          </w:tcPr>
          <w:p/>
        </w:tc>
        <w:tc>
          <w:tcPr>
            <w:tcW w:w="173" w:type="pct"/>
            <w:tcBorders>
              <w:top w:val="single" w:sz="4" w:space="0" w:color="auto"/>
              <w:left w:val="single" w:sz="4" w:space="0" w:color="auto"/>
              <w:bottom w:val="single" w:sz="4" w:space="0" w:color="auto"/>
              <w:right w:val="single" w:sz="4" w:space="0" w:color="auto"/>
            </w:tcBorders>
            <w:shd w:val="clear" w:color="auto" w:fill="auto"/>
            <w:noWrap/>
            <w:vAlign w:val="center"/>
          </w:tcPr>
          <w:p>
            <w:pPr>
              <w:numPr>
                <w:ilvl w:val="0"/>
                <w:numId w:val="11"/>
              </w:numPr>
              <w:adjustRightInd w:val="0"/>
              <w:snapToGrid w:val="0"/>
              <w:spacing w:line="240" w:lineRule="auto"/>
              <w:ind w:left="0" w:firstLine="0"/>
              <w:jc w:val="center"/>
              <w:rPr>
                <w:sz w:val="21"/>
              </w:rPr>
            </w:pPr>
          </w:p>
        </w:tc>
        <w:tc>
          <w:tcPr>
            <w:tcW w:w="798" w:type="pct"/>
            <w:tcBorders>
              <w:top w:val="single" w:sz="4" w:space="0" w:color="auto"/>
              <w:left w:val="single" w:sz="4" w:space="0" w:color="auto"/>
              <w:bottom w:val="single" w:sz="4" w:space="0" w:color="auto"/>
              <w:right w:val="single" w:sz="4" w:space="0" w:color="auto"/>
            </w:tcBorders>
            <w:shd w:val="clear" w:color="auto" w:fill="auto"/>
            <w:noWrap/>
            <w:vAlign w:val="center"/>
          </w:tcPr>
          <w:p>
            <w:pPr>
              <w:adjustRightInd w:val="0"/>
              <w:snapToGrid w:val="0"/>
              <w:spacing w:line="240" w:lineRule="auto"/>
              <w:jc w:val="center"/>
              <w:rPr>
                <w:sz w:val="21"/>
              </w:rPr>
            </w:pPr>
            <w:r>
              <w:rPr>
                <w:sz w:val="21"/>
              </w:rPr>
              <w:t>实施重点行业企业节能技术改造</w:t>
            </w:r>
          </w:p>
        </w:tc>
        <w:tc>
          <w:tcPr>
            <w:tcW w:w="2198" w:type="pct"/>
            <w:tcBorders>
              <w:top w:val="single" w:sz="4" w:space="0" w:color="auto"/>
              <w:left w:val="single" w:sz="4" w:space="0" w:color="auto"/>
              <w:bottom w:val="single" w:sz="4" w:space="0" w:color="auto"/>
              <w:right w:val="single" w:sz="4" w:space="0" w:color="auto"/>
            </w:tcBorders>
            <w:shd w:val="clear" w:color="auto" w:fill="auto"/>
            <w:noWrap/>
            <w:vAlign w:val="center"/>
          </w:tcPr>
          <w:p>
            <w:pPr>
              <w:adjustRightInd w:val="0"/>
              <w:snapToGrid w:val="0"/>
              <w:spacing w:line="240" w:lineRule="auto"/>
              <w:ind w:firstLine="420"/>
              <w:rPr>
                <w:sz w:val="21"/>
              </w:rPr>
            </w:pPr>
            <w:r>
              <w:rPr>
                <w:sz w:val="21"/>
              </w:rPr>
              <w:t>以钢铁、电力等高耗能行业为重点，推动华润等企业开展节能减碳技术改造。</w:t>
            </w:r>
          </w:p>
        </w:tc>
        <w:tc>
          <w:tcPr>
            <w:tcW w:w="418" w:type="pct"/>
            <w:tcBorders>
              <w:top w:val="single" w:sz="4" w:space="0" w:color="auto"/>
              <w:left w:val="single" w:sz="4" w:space="0" w:color="auto"/>
              <w:bottom w:val="single" w:sz="4" w:space="0" w:color="auto"/>
              <w:right w:val="single" w:sz="4" w:space="0" w:color="auto"/>
            </w:tcBorders>
            <w:shd w:val="clear" w:color="auto" w:fill="auto"/>
            <w:noWrap/>
            <w:vAlign w:val="center"/>
          </w:tcPr>
          <w:p>
            <w:pPr>
              <w:adjustRightInd w:val="0"/>
              <w:snapToGrid w:val="0"/>
              <w:spacing w:line="240" w:lineRule="auto"/>
              <w:jc w:val="center"/>
              <w:rPr>
                <w:sz w:val="21"/>
              </w:rPr>
            </w:pPr>
            <w:r>
              <w:rPr>
                <w:sz w:val="21"/>
              </w:rPr>
              <w:t>2023-2025</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tcPr>
          <w:p>
            <w:pPr>
              <w:adjustRightInd w:val="0"/>
              <w:snapToGrid w:val="0"/>
              <w:spacing w:line="240" w:lineRule="auto"/>
              <w:jc w:val="center"/>
              <w:rPr>
                <w:sz w:val="21"/>
              </w:rPr>
            </w:pPr>
            <w:r>
              <w:rPr>
                <w:sz w:val="21"/>
              </w:rPr>
              <w:t>1000</w:t>
            </w:r>
          </w:p>
        </w:tc>
        <w:tc>
          <w:tcPr>
            <w:tcW w:w="703" w:type="pct"/>
            <w:tcBorders>
              <w:top w:val="single" w:sz="4" w:space="0" w:color="auto"/>
              <w:left w:val="single" w:sz="4" w:space="0" w:color="auto"/>
              <w:bottom w:val="single" w:sz="4" w:space="0" w:color="auto"/>
              <w:right w:val="single" w:sz="4" w:space="0" w:color="auto"/>
            </w:tcBorders>
            <w:shd w:val="clear" w:color="auto" w:fill="auto"/>
            <w:noWrap/>
            <w:vAlign w:val="center"/>
          </w:tcPr>
          <w:p>
            <w:pPr>
              <w:adjustRightInd w:val="0"/>
              <w:snapToGrid w:val="0"/>
              <w:spacing w:line="240" w:lineRule="auto"/>
              <w:jc w:val="center"/>
              <w:rPr>
                <w:sz w:val="21"/>
              </w:rPr>
            </w:pPr>
            <w:r>
              <w:rPr>
                <w:sz w:val="21"/>
              </w:rPr>
              <w:t>区工信局、各相关街道、雨花经济开发区</w:t>
            </w:r>
          </w:p>
        </w:tc>
      </w:tr>
      <w:tr>
        <w:trPr>
          <w:trHeight w:val="1047"/>
        </w:trPr>
        <w:tc>
          <w:tcPr>
            <w:tcW w:w="287" w:type="pct"/>
            <w:vMerge/>
            <w:tcBorders>
              <w:top w:val="single" w:sz="4" w:space="0" w:color="auto"/>
              <w:left w:val="single" w:sz="4" w:space="0" w:color="auto"/>
              <w:bottom w:val="single" w:sz="4" w:space="0" w:color="auto"/>
              <w:right w:val="single" w:sz="4" w:space="0" w:color="auto"/>
            </w:tcBorders>
            <w:shd w:val="clear" w:color="auto" w:fill="auto"/>
            <w:noWrap/>
            <w:vAlign w:val="center"/>
          </w:tcPr>
          <w:p/>
        </w:tc>
        <w:tc>
          <w:tcPr>
            <w:tcW w:w="173" w:type="pct"/>
            <w:tcBorders>
              <w:top w:val="single" w:sz="4" w:space="0" w:color="auto"/>
              <w:left w:val="single" w:sz="4" w:space="0" w:color="auto"/>
              <w:bottom w:val="single" w:sz="4" w:space="0" w:color="auto"/>
              <w:right w:val="single" w:sz="4" w:space="0" w:color="auto"/>
            </w:tcBorders>
            <w:shd w:val="clear" w:color="auto" w:fill="auto"/>
            <w:noWrap/>
            <w:vAlign w:val="center"/>
          </w:tcPr>
          <w:p>
            <w:pPr>
              <w:numPr>
                <w:ilvl w:val="0"/>
                <w:numId w:val="11"/>
              </w:numPr>
              <w:adjustRightInd w:val="0"/>
              <w:snapToGrid w:val="0"/>
              <w:spacing w:line="240" w:lineRule="auto"/>
              <w:ind w:left="0" w:firstLine="0"/>
              <w:jc w:val="center"/>
              <w:rPr>
                <w:sz w:val="21"/>
              </w:rPr>
            </w:pPr>
          </w:p>
        </w:tc>
        <w:tc>
          <w:tcPr>
            <w:tcW w:w="798" w:type="pct"/>
            <w:tcBorders>
              <w:top w:val="single" w:sz="4" w:space="0" w:color="auto"/>
              <w:left w:val="single" w:sz="4" w:space="0" w:color="auto"/>
              <w:bottom w:val="single" w:sz="4" w:space="0" w:color="auto"/>
              <w:right w:val="single" w:sz="4" w:space="0" w:color="auto"/>
            </w:tcBorders>
            <w:shd w:val="clear" w:color="auto" w:fill="auto"/>
            <w:noWrap/>
            <w:vAlign w:val="center"/>
          </w:tcPr>
          <w:p>
            <w:pPr>
              <w:adjustRightInd w:val="0"/>
              <w:snapToGrid w:val="0"/>
              <w:spacing w:line="240" w:lineRule="auto"/>
              <w:jc w:val="center"/>
              <w:rPr>
                <w:sz w:val="21"/>
              </w:rPr>
            </w:pPr>
            <w:r>
              <w:rPr>
                <w:sz w:val="21"/>
              </w:rPr>
              <w:t>绿色金融新地标创建工程</w:t>
            </w:r>
          </w:p>
        </w:tc>
        <w:tc>
          <w:tcPr>
            <w:tcW w:w="2198" w:type="pct"/>
            <w:tcBorders>
              <w:top w:val="single" w:sz="4" w:space="0" w:color="auto"/>
              <w:left w:val="single" w:sz="4" w:space="0" w:color="auto"/>
              <w:bottom w:val="single" w:sz="4" w:space="0" w:color="auto"/>
              <w:right w:val="single" w:sz="4" w:space="0" w:color="auto"/>
            </w:tcBorders>
            <w:shd w:val="clear" w:color="auto" w:fill="auto"/>
            <w:noWrap/>
            <w:vAlign w:val="center"/>
          </w:tcPr>
          <w:p>
            <w:pPr>
              <w:adjustRightInd w:val="0"/>
              <w:snapToGrid w:val="0"/>
              <w:spacing w:line="240" w:lineRule="auto"/>
              <w:ind w:firstLine="420"/>
              <w:rPr>
                <w:sz w:val="21"/>
              </w:rPr>
            </w:pPr>
            <w:r>
              <w:rPr>
                <w:sz w:val="21"/>
              </w:rPr>
              <w:t>以互联网+科技金融产业为主题，打造专业化的金融科技产业园区，吸引集聚金融科技、金融安全、金融征信等新金融企业落户，对接建邺区、河西新城等区域科技服务业集聚区，引进一批科技金融、科技服务、技术转移等机构，推动数字经济与科技服务业协同发展；</w:t>
            </w:r>
          </w:p>
          <w:p>
            <w:pPr>
              <w:adjustRightInd w:val="0"/>
              <w:snapToGrid w:val="0"/>
              <w:spacing w:line="240" w:lineRule="auto"/>
              <w:ind w:firstLine="420"/>
              <w:rPr>
                <w:sz w:val="21"/>
              </w:rPr>
            </w:pPr>
            <w:r>
              <w:rPr>
                <w:sz w:val="21"/>
              </w:rPr>
              <w:t>支持润和软件牵头组建金融信创中心，联合华为、阿里、怡化信息、鲸融科技等企业，在金融基础设施、关键产品与解决方案、金融机构核心业务、一般业务和从辅助业务系统场景化技术架构等方面开展攻关。</w:t>
            </w:r>
          </w:p>
        </w:tc>
        <w:tc>
          <w:tcPr>
            <w:tcW w:w="418" w:type="pct"/>
            <w:tcBorders>
              <w:top w:val="single" w:sz="4" w:space="0" w:color="auto"/>
              <w:left w:val="single" w:sz="4" w:space="0" w:color="auto"/>
              <w:bottom w:val="single" w:sz="4" w:space="0" w:color="auto"/>
              <w:right w:val="single" w:sz="4" w:space="0" w:color="auto"/>
            </w:tcBorders>
            <w:shd w:val="clear" w:color="auto" w:fill="auto"/>
            <w:noWrap/>
            <w:vAlign w:val="center"/>
          </w:tcPr>
          <w:p>
            <w:pPr>
              <w:adjustRightInd w:val="0"/>
              <w:snapToGrid w:val="0"/>
              <w:spacing w:line="240" w:lineRule="auto"/>
              <w:jc w:val="center"/>
              <w:rPr>
                <w:sz w:val="21"/>
              </w:rPr>
            </w:pPr>
            <w:r>
              <w:rPr>
                <w:sz w:val="21"/>
              </w:rPr>
              <w:t>2023-2030</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tcPr>
          <w:p>
            <w:pPr>
              <w:adjustRightInd w:val="0"/>
              <w:snapToGrid w:val="0"/>
              <w:spacing w:line="240" w:lineRule="auto"/>
              <w:jc w:val="center"/>
              <w:rPr>
                <w:sz w:val="21"/>
              </w:rPr>
            </w:pPr>
            <w:r>
              <w:rPr>
                <w:sz w:val="21"/>
              </w:rPr>
              <w:t>12000</w:t>
            </w:r>
          </w:p>
        </w:tc>
        <w:tc>
          <w:tcPr>
            <w:tcW w:w="703" w:type="pct"/>
            <w:tcBorders>
              <w:top w:val="single" w:sz="4" w:space="0" w:color="auto"/>
              <w:left w:val="single" w:sz="4" w:space="0" w:color="auto"/>
              <w:bottom w:val="single" w:sz="4" w:space="0" w:color="auto"/>
              <w:right w:val="single" w:sz="4" w:space="0" w:color="auto"/>
            </w:tcBorders>
            <w:shd w:val="clear" w:color="auto" w:fill="auto"/>
            <w:noWrap/>
            <w:vAlign w:val="center"/>
          </w:tcPr>
          <w:p>
            <w:pPr>
              <w:adjustRightInd w:val="0"/>
              <w:snapToGrid w:val="0"/>
              <w:spacing w:line="240" w:lineRule="auto"/>
              <w:jc w:val="center"/>
              <w:rPr>
                <w:sz w:val="21"/>
              </w:rPr>
            </w:pPr>
            <w:r>
              <w:rPr>
                <w:sz w:val="21"/>
              </w:rPr>
              <w:t>区金融监管局</w:t>
            </w:r>
          </w:p>
        </w:tc>
      </w:tr>
      <w:tr>
        <w:trPr>
          <w:trHeight w:val="340"/>
        </w:trPr>
        <w:tc>
          <w:tcPr>
            <w:tcW w:w="287"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pPr>
              <w:spacing w:line="240" w:lineRule="auto"/>
              <w:jc w:val="center"/>
              <w:rPr>
                <w:sz w:val="21"/>
              </w:rPr>
            </w:pPr>
            <w:r>
              <w:rPr>
                <w:sz w:val="21"/>
              </w:rPr>
              <w:t>生态生活提升工程</w:t>
            </w:r>
          </w:p>
        </w:tc>
        <w:tc>
          <w:tcPr>
            <w:tcW w:w="173" w:type="pct"/>
            <w:tcBorders>
              <w:top w:val="single" w:sz="4" w:space="0" w:color="auto"/>
              <w:left w:val="single" w:sz="4" w:space="0" w:color="auto"/>
              <w:bottom w:val="single" w:sz="4" w:space="0" w:color="auto"/>
              <w:right w:val="single" w:sz="4" w:space="0" w:color="auto"/>
            </w:tcBorders>
            <w:shd w:val="clear" w:color="auto" w:fill="auto"/>
            <w:noWrap/>
            <w:vAlign w:val="center"/>
          </w:tcPr>
          <w:p>
            <w:pPr>
              <w:numPr>
                <w:ilvl w:val="0"/>
                <w:numId w:val="11"/>
              </w:numPr>
              <w:adjustRightInd w:val="0"/>
              <w:snapToGrid w:val="0"/>
              <w:spacing w:line="240" w:lineRule="auto"/>
              <w:ind w:left="0" w:firstLine="0"/>
              <w:jc w:val="center"/>
              <w:rPr>
                <w:sz w:val="21"/>
              </w:rPr>
            </w:pPr>
          </w:p>
        </w:tc>
        <w:tc>
          <w:tcPr>
            <w:tcW w:w="798" w:type="pct"/>
            <w:tcBorders>
              <w:top w:val="single" w:sz="4" w:space="0" w:color="auto"/>
              <w:left w:val="single" w:sz="4" w:space="0" w:color="auto"/>
              <w:bottom w:val="single" w:sz="4" w:space="0" w:color="auto"/>
              <w:right w:val="single" w:sz="4" w:space="0" w:color="auto"/>
            </w:tcBorders>
            <w:shd w:val="clear" w:color="auto" w:fill="auto"/>
            <w:noWrap/>
            <w:vAlign w:val="center"/>
          </w:tcPr>
          <w:p>
            <w:pPr>
              <w:spacing w:line="240" w:lineRule="auto"/>
              <w:contextualSpacing/>
              <w:jc w:val="center"/>
              <w:rPr>
                <w:sz w:val="21"/>
              </w:rPr>
            </w:pPr>
            <w:r>
              <w:rPr>
                <w:sz w:val="21"/>
              </w:rPr>
              <w:t>海绵城市建设工程</w:t>
            </w:r>
          </w:p>
        </w:tc>
        <w:tc>
          <w:tcPr>
            <w:tcW w:w="2198" w:type="pct"/>
            <w:tcBorders>
              <w:top w:val="single" w:sz="4" w:space="0" w:color="auto"/>
              <w:left w:val="single" w:sz="4" w:space="0" w:color="auto"/>
              <w:bottom w:val="single" w:sz="4" w:space="0" w:color="auto"/>
              <w:right w:val="single" w:sz="4" w:space="0" w:color="auto"/>
            </w:tcBorders>
            <w:shd w:val="clear" w:color="auto" w:fill="auto"/>
            <w:noWrap/>
            <w:vAlign w:val="center"/>
          </w:tcPr>
          <w:p>
            <w:pPr>
              <w:adjustRightInd w:val="0"/>
              <w:snapToGrid w:val="0"/>
              <w:spacing w:line="240" w:lineRule="auto"/>
              <w:ind w:firstLine="420"/>
              <w:rPr>
                <w:sz w:val="21"/>
              </w:rPr>
            </w:pPr>
            <w:r>
              <w:rPr>
                <w:sz w:val="21"/>
              </w:rPr>
              <w:t>深入推进海绵城市建设，到2030年末，城市建成区80%以上的面积达到海绵城市建设目标要求。</w:t>
            </w:r>
          </w:p>
        </w:tc>
        <w:tc>
          <w:tcPr>
            <w:tcW w:w="418" w:type="pct"/>
            <w:tcBorders>
              <w:top w:val="single" w:sz="4" w:space="0" w:color="auto"/>
              <w:left w:val="single" w:sz="4" w:space="0" w:color="auto"/>
              <w:bottom w:val="single" w:sz="4" w:space="0" w:color="auto"/>
              <w:right w:val="single" w:sz="4" w:space="0" w:color="auto"/>
            </w:tcBorders>
            <w:shd w:val="clear" w:color="auto" w:fill="auto"/>
            <w:noWrap/>
            <w:vAlign w:val="center"/>
          </w:tcPr>
          <w:p>
            <w:pPr>
              <w:adjustRightInd w:val="0"/>
              <w:snapToGrid w:val="0"/>
              <w:spacing w:line="240" w:lineRule="auto"/>
              <w:jc w:val="center"/>
              <w:rPr>
                <w:sz w:val="21"/>
              </w:rPr>
            </w:pPr>
            <w:r>
              <w:rPr>
                <w:sz w:val="21"/>
              </w:rPr>
              <w:t>2023-2030</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tcPr>
          <w:p>
            <w:pPr>
              <w:adjustRightInd w:val="0"/>
              <w:snapToGrid w:val="0"/>
              <w:spacing w:line="240" w:lineRule="auto"/>
              <w:jc w:val="center"/>
              <w:rPr>
                <w:sz w:val="21"/>
              </w:rPr>
            </w:pPr>
            <w:r>
              <w:rPr>
                <w:sz w:val="21"/>
              </w:rPr>
              <w:t>277600</w:t>
            </w:r>
          </w:p>
        </w:tc>
        <w:tc>
          <w:tcPr>
            <w:tcW w:w="703" w:type="pct"/>
            <w:tcBorders>
              <w:top w:val="single" w:sz="4" w:space="0" w:color="auto"/>
              <w:left w:val="single" w:sz="4" w:space="0" w:color="auto"/>
              <w:bottom w:val="single" w:sz="4" w:space="0" w:color="auto"/>
              <w:right w:val="single" w:sz="4" w:space="0" w:color="auto"/>
            </w:tcBorders>
            <w:shd w:val="clear" w:color="auto" w:fill="auto"/>
            <w:noWrap/>
            <w:vAlign w:val="center"/>
          </w:tcPr>
          <w:p>
            <w:pPr>
              <w:adjustRightInd w:val="0"/>
              <w:snapToGrid w:val="0"/>
              <w:spacing w:line="240" w:lineRule="auto"/>
              <w:jc w:val="center"/>
              <w:rPr>
                <w:sz w:val="21"/>
              </w:rPr>
            </w:pPr>
            <w:r>
              <w:rPr>
                <w:sz w:val="21"/>
              </w:rPr>
              <w:t>区住建局、水务局</w:t>
            </w:r>
          </w:p>
        </w:tc>
      </w:tr>
      <w:tr>
        <w:trPr>
          <w:trHeight w:val="340"/>
        </w:trPr>
        <w:tc>
          <w:tcPr>
            <w:tcW w:w="287" w:type="pct"/>
            <w:vMerge/>
            <w:tcBorders>
              <w:top w:val="single" w:sz="4" w:space="0" w:color="auto"/>
              <w:left w:val="single" w:sz="4" w:space="0" w:color="auto"/>
              <w:bottom w:val="single" w:sz="4" w:space="0" w:color="auto"/>
              <w:right w:val="single" w:sz="4" w:space="0" w:color="auto"/>
            </w:tcBorders>
            <w:shd w:val="clear" w:color="auto" w:fill="auto"/>
            <w:noWrap/>
            <w:vAlign w:val="center"/>
          </w:tcPr>
          <w:p/>
        </w:tc>
        <w:tc>
          <w:tcPr>
            <w:tcW w:w="173" w:type="pct"/>
            <w:tcBorders>
              <w:top w:val="single" w:sz="4" w:space="0" w:color="auto"/>
              <w:left w:val="single" w:sz="4" w:space="0" w:color="auto"/>
              <w:bottom w:val="single" w:sz="4" w:space="0" w:color="auto"/>
              <w:right w:val="single" w:sz="4" w:space="0" w:color="auto"/>
            </w:tcBorders>
            <w:shd w:val="clear" w:color="auto" w:fill="auto"/>
            <w:noWrap/>
            <w:vAlign w:val="center"/>
          </w:tcPr>
          <w:p>
            <w:pPr>
              <w:numPr>
                <w:ilvl w:val="0"/>
                <w:numId w:val="11"/>
              </w:numPr>
              <w:adjustRightInd w:val="0"/>
              <w:snapToGrid w:val="0"/>
              <w:spacing w:line="240" w:lineRule="auto"/>
              <w:ind w:left="0" w:firstLine="0"/>
              <w:jc w:val="center"/>
              <w:rPr>
                <w:sz w:val="21"/>
              </w:rPr>
            </w:pPr>
          </w:p>
        </w:tc>
        <w:tc>
          <w:tcPr>
            <w:tcW w:w="798" w:type="pct"/>
            <w:tcBorders>
              <w:top w:val="single" w:sz="4" w:space="0" w:color="auto"/>
              <w:left w:val="single" w:sz="4" w:space="0" w:color="auto"/>
              <w:bottom w:val="single" w:sz="4" w:space="0" w:color="auto"/>
              <w:right w:val="single" w:sz="4" w:space="0" w:color="auto"/>
            </w:tcBorders>
            <w:shd w:val="clear" w:color="auto" w:fill="auto"/>
            <w:noWrap/>
            <w:vAlign w:val="center"/>
          </w:tcPr>
          <w:p>
            <w:pPr>
              <w:spacing w:line="240" w:lineRule="auto"/>
              <w:contextualSpacing/>
              <w:jc w:val="center"/>
              <w:rPr>
                <w:sz w:val="21"/>
              </w:rPr>
            </w:pPr>
            <w:r>
              <w:rPr>
                <w:sz w:val="21"/>
              </w:rPr>
              <w:t>推进“无废城区”建设工程</w:t>
            </w:r>
          </w:p>
        </w:tc>
        <w:tc>
          <w:tcPr>
            <w:tcW w:w="2198" w:type="pct"/>
            <w:tcBorders>
              <w:top w:val="single" w:sz="4" w:space="0" w:color="auto"/>
              <w:left w:val="single" w:sz="4" w:space="0" w:color="auto"/>
              <w:bottom w:val="single" w:sz="4" w:space="0" w:color="auto"/>
              <w:right w:val="single" w:sz="4" w:space="0" w:color="auto"/>
            </w:tcBorders>
            <w:shd w:val="clear" w:color="auto" w:fill="auto"/>
            <w:noWrap/>
            <w:vAlign w:val="center"/>
          </w:tcPr>
          <w:p>
            <w:pPr>
              <w:adjustRightInd w:val="0"/>
              <w:snapToGrid w:val="0"/>
              <w:spacing w:line="240" w:lineRule="auto"/>
              <w:ind w:firstLine="420"/>
              <w:rPr>
                <w:sz w:val="21"/>
              </w:rPr>
            </w:pPr>
            <w:r>
              <w:rPr>
                <w:sz w:val="21"/>
              </w:rPr>
              <w:t>坚持绿色低碳循环发展，以生活垃圾、餐厨垃圾、一般固体废物、危险废物为重点，实现源头大幅减量、充分资源化利用和安全处置。继续推进垃圾分类收集点建设。</w:t>
            </w:r>
          </w:p>
        </w:tc>
        <w:tc>
          <w:tcPr>
            <w:tcW w:w="418" w:type="pct"/>
            <w:tcBorders>
              <w:top w:val="single" w:sz="4" w:space="0" w:color="auto"/>
              <w:left w:val="single" w:sz="4" w:space="0" w:color="auto"/>
              <w:bottom w:val="single" w:sz="4" w:space="0" w:color="auto"/>
              <w:right w:val="single" w:sz="4" w:space="0" w:color="auto"/>
            </w:tcBorders>
            <w:shd w:val="clear" w:color="auto" w:fill="auto"/>
            <w:noWrap/>
            <w:vAlign w:val="center"/>
          </w:tcPr>
          <w:p>
            <w:pPr>
              <w:adjustRightInd w:val="0"/>
              <w:snapToGrid w:val="0"/>
              <w:spacing w:line="240" w:lineRule="auto"/>
              <w:jc w:val="center"/>
              <w:rPr>
                <w:sz w:val="21"/>
              </w:rPr>
            </w:pPr>
            <w:r>
              <w:rPr>
                <w:sz w:val="21"/>
              </w:rPr>
              <w:t>2023-2025</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tcPr>
          <w:p>
            <w:pPr>
              <w:adjustRightInd w:val="0"/>
              <w:snapToGrid w:val="0"/>
              <w:spacing w:line="240" w:lineRule="auto"/>
              <w:jc w:val="center"/>
              <w:rPr>
                <w:sz w:val="21"/>
              </w:rPr>
            </w:pPr>
            <w:r>
              <w:rPr>
                <w:sz w:val="21"/>
              </w:rPr>
              <w:t>5000</w:t>
            </w:r>
          </w:p>
        </w:tc>
        <w:tc>
          <w:tcPr>
            <w:tcW w:w="703" w:type="pct"/>
            <w:tcBorders>
              <w:top w:val="single" w:sz="4" w:space="0" w:color="auto"/>
              <w:left w:val="single" w:sz="4" w:space="0" w:color="auto"/>
              <w:bottom w:val="single" w:sz="4" w:space="0" w:color="auto"/>
              <w:right w:val="single" w:sz="4" w:space="0" w:color="auto"/>
            </w:tcBorders>
            <w:shd w:val="clear" w:color="auto" w:fill="auto"/>
            <w:noWrap/>
            <w:vAlign w:val="center"/>
          </w:tcPr>
          <w:p>
            <w:pPr>
              <w:adjustRightInd w:val="0"/>
              <w:snapToGrid w:val="0"/>
              <w:spacing w:line="240" w:lineRule="auto"/>
              <w:jc w:val="center"/>
              <w:rPr>
                <w:sz w:val="21"/>
              </w:rPr>
            </w:pPr>
            <w:r>
              <w:rPr>
                <w:sz w:val="21"/>
              </w:rPr>
              <w:t>雨花台生态环境局、房产局</w:t>
            </w:r>
          </w:p>
        </w:tc>
      </w:tr>
      <w:tr>
        <w:trPr>
          <w:trHeight w:val="340"/>
        </w:trPr>
        <w:tc>
          <w:tcPr>
            <w:tcW w:w="287" w:type="pct"/>
            <w:vMerge/>
            <w:tcBorders>
              <w:top w:val="single" w:sz="4" w:space="0" w:color="auto"/>
              <w:left w:val="single" w:sz="4" w:space="0" w:color="auto"/>
              <w:bottom w:val="single" w:sz="4" w:space="0" w:color="auto"/>
              <w:right w:val="single" w:sz="4" w:space="0" w:color="auto"/>
            </w:tcBorders>
            <w:shd w:val="clear" w:color="auto" w:fill="auto"/>
            <w:noWrap/>
            <w:vAlign w:val="center"/>
          </w:tcPr>
          <w:p/>
        </w:tc>
        <w:tc>
          <w:tcPr>
            <w:tcW w:w="173" w:type="pct"/>
            <w:tcBorders>
              <w:top w:val="single" w:sz="4" w:space="0" w:color="auto"/>
              <w:left w:val="single" w:sz="4" w:space="0" w:color="auto"/>
              <w:bottom w:val="single" w:sz="4" w:space="0" w:color="auto"/>
              <w:right w:val="single" w:sz="4" w:space="0" w:color="auto"/>
            </w:tcBorders>
            <w:shd w:val="clear" w:color="auto" w:fill="auto"/>
            <w:noWrap/>
            <w:vAlign w:val="center"/>
          </w:tcPr>
          <w:p>
            <w:pPr>
              <w:numPr>
                <w:ilvl w:val="0"/>
                <w:numId w:val="11"/>
              </w:numPr>
              <w:adjustRightInd w:val="0"/>
              <w:snapToGrid w:val="0"/>
              <w:spacing w:line="240" w:lineRule="auto"/>
              <w:ind w:left="0" w:firstLine="0"/>
              <w:jc w:val="center"/>
              <w:rPr>
                <w:sz w:val="21"/>
              </w:rPr>
            </w:pPr>
          </w:p>
        </w:tc>
        <w:tc>
          <w:tcPr>
            <w:tcW w:w="798" w:type="pct"/>
            <w:tcBorders>
              <w:top w:val="single" w:sz="4" w:space="0" w:color="auto"/>
              <w:left w:val="single" w:sz="4" w:space="0" w:color="auto"/>
              <w:bottom w:val="single" w:sz="4" w:space="0" w:color="auto"/>
              <w:right w:val="single" w:sz="4" w:space="0" w:color="auto"/>
            </w:tcBorders>
            <w:shd w:val="clear" w:color="auto" w:fill="auto"/>
            <w:noWrap/>
            <w:vAlign w:val="center"/>
          </w:tcPr>
          <w:p>
            <w:pPr>
              <w:spacing w:line="240" w:lineRule="auto"/>
              <w:contextualSpacing/>
              <w:jc w:val="center"/>
              <w:rPr>
                <w:sz w:val="21"/>
              </w:rPr>
            </w:pPr>
            <w:r>
              <w:rPr>
                <w:sz w:val="21"/>
              </w:rPr>
              <w:t>绿色建筑试点示范项目</w:t>
            </w:r>
          </w:p>
        </w:tc>
        <w:tc>
          <w:tcPr>
            <w:tcW w:w="2198" w:type="pct"/>
            <w:tcBorders>
              <w:top w:val="single" w:sz="4" w:space="0" w:color="auto"/>
              <w:left w:val="single" w:sz="4" w:space="0" w:color="auto"/>
              <w:bottom w:val="single" w:sz="4" w:space="0" w:color="auto"/>
              <w:right w:val="single" w:sz="4" w:space="0" w:color="auto"/>
            </w:tcBorders>
            <w:shd w:val="clear" w:color="auto" w:fill="auto"/>
            <w:noWrap/>
            <w:vAlign w:val="center"/>
          </w:tcPr>
          <w:p>
            <w:pPr>
              <w:adjustRightInd w:val="0"/>
              <w:snapToGrid w:val="0"/>
              <w:spacing w:line="240" w:lineRule="auto"/>
              <w:ind w:firstLine="420"/>
              <w:rPr>
                <w:sz w:val="21"/>
              </w:rPr>
            </w:pPr>
            <w:r>
              <w:rPr>
                <w:sz w:val="21"/>
              </w:rPr>
              <w:t>完成南京市对雨花台区的绿色建筑指标；持续做好可再生能源建筑应用、节能监管体系、BIM 技术应用等各类绿色建筑示范</w:t>
            </w:r>
          </w:p>
        </w:tc>
        <w:tc>
          <w:tcPr>
            <w:tcW w:w="418" w:type="pct"/>
            <w:tcBorders>
              <w:top w:val="single" w:sz="4" w:space="0" w:color="auto"/>
              <w:left w:val="single" w:sz="4" w:space="0" w:color="auto"/>
              <w:bottom w:val="single" w:sz="4" w:space="0" w:color="auto"/>
              <w:right w:val="single" w:sz="4" w:space="0" w:color="auto"/>
            </w:tcBorders>
            <w:shd w:val="clear" w:color="auto" w:fill="auto"/>
            <w:noWrap/>
            <w:vAlign w:val="center"/>
          </w:tcPr>
          <w:p>
            <w:pPr>
              <w:adjustRightInd w:val="0"/>
              <w:snapToGrid w:val="0"/>
              <w:spacing w:line="240" w:lineRule="auto"/>
              <w:jc w:val="center"/>
              <w:rPr>
                <w:sz w:val="21"/>
              </w:rPr>
            </w:pPr>
            <w:r>
              <w:rPr>
                <w:sz w:val="21"/>
              </w:rPr>
              <w:t>2023-2025</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tcPr>
          <w:p>
            <w:pPr>
              <w:adjustRightInd w:val="0"/>
              <w:snapToGrid w:val="0"/>
              <w:spacing w:line="240" w:lineRule="auto"/>
              <w:jc w:val="center"/>
              <w:rPr>
                <w:sz w:val="21"/>
              </w:rPr>
            </w:pPr>
            <w:r>
              <w:rPr>
                <w:sz w:val="21"/>
              </w:rPr>
              <w:t>100</w:t>
            </w:r>
          </w:p>
        </w:tc>
        <w:tc>
          <w:tcPr>
            <w:tcW w:w="703" w:type="pct"/>
            <w:tcBorders>
              <w:top w:val="single" w:sz="4" w:space="0" w:color="auto"/>
              <w:left w:val="single" w:sz="4" w:space="0" w:color="auto"/>
              <w:bottom w:val="single" w:sz="4" w:space="0" w:color="auto"/>
              <w:right w:val="single" w:sz="4" w:space="0" w:color="auto"/>
            </w:tcBorders>
            <w:shd w:val="clear" w:color="auto" w:fill="auto"/>
            <w:noWrap/>
            <w:vAlign w:val="center"/>
          </w:tcPr>
          <w:p>
            <w:pPr>
              <w:adjustRightInd w:val="0"/>
              <w:snapToGrid w:val="0"/>
              <w:spacing w:line="240" w:lineRule="auto"/>
              <w:jc w:val="center"/>
              <w:rPr>
                <w:sz w:val="21"/>
              </w:rPr>
            </w:pPr>
            <w:r>
              <w:rPr>
                <w:sz w:val="21"/>
              </w:rPr>
              <w:t>区住建局</w:t>
            </w:r>
          </w:p>
        </w:tc>
      </w:tr>
      <w:tr>
        <w:trPr>
          <w:trHeight w:val="340"/>
        </w:trPr>
        <w:tc>
          <w:tcPr>
            <w:tcW w:w="287" w:type="pct"/>
            <w:vMerge/>
            <w:tcBorders>
              <w:top w:val="single" w:sz="4" w:space="0" w:color="auto"/>
              <w:left w:val="single" w:sz="4" w:space="0" w:color="auto"/>
              <w:bottom w:val="single" w:sz="4" w:space="0" w:color="auto"/>
              <w:right w:val="single" w:sz="4" w:space="0" w:color="auto"/>
            </w:tcBorders>
            <w:shd w:val="clear" w:color="auto" w:fill="auto"/>
            <w:noWrap/>
            <w:vAlign w:val="center"/>
          </w:tcPr>
          <w:p/>
        </w:tc>
        <w:tc>
          <w:tcPr>
            <w:tcW w:w="173" w:type="pct"/>
            <w:tcBorders>
              <w:top w:val="single" w:sz="4" w:space="0" w:color="auto"/>
              <w:left w:val="single" w:sz="4" w:space="0" w:color="auto"/>
              <w:bottom w:val="single" w:sz="4" w:space="0" w:color="auto"/>
              <w:right w:val="single" w:sz="4" w:space="0" w:color="auto"/>
            </w:tcBorders>
            <w:shd w:val="clear" w:color="auto" w:fill="auto"/>
            <w:noWrap/>
            <w:vAlign w:val="center"/>
          </w:tcPr>
          <w:p>
            <w:pPr>
              <w:numPr>
                <w:ilvl w:val="0"/>
                <w:numId w:val="11"/>
              </w:numPr>
              <w:adjustRightInd w:val="0"/>
              <w:snapToGrid w:val="0"/>
              <w:spacing w:line="240" w:lineRule="auto"/>
              <w:ind w:left="0" w:firstLine="0"/>
              <w:jc w:val="center"/>
              <w:rPr>
                <w:sz w:val="21"/>
              </w:rPr>
            </w:pPr>
          </w:p>
        </w:tc>
        <w:tc>
          <w:tcPr>
            <w:tcW w:w="798" w:type="pct"/>
            <w:tcBorders>
              <w:top w:val="single" w:sz="4" w:space="0" w:color="auto"/>
              <w:left w:val="single" w:sz="4" w:space="0" w:color="auto"/>
              <w:bottom w:val="single" w:sz="4" w:space="0" w:color="auto"/>
              <w:right w:val="single" w:sz="4" w:space="0" w:color="auto"/>
            </w:tcBorders>
            <w:shd w:val="clear" w:color="auto" w:fill="auto"/>
            <w:noWrap/>
            <w:vAlign w:val="center"/>
          </w:tcPr>
          <w:p>
            <w:pPr>
              <w:spacing w:line="240" w:lineRule="auto"/>
              <w:contextualSpacing/>
              <w:jc w:val="center"/>
              <w:rPr>
                <w:sz w:val="21"/>
              </w:rPr>
            </w:pPr>
            <w:r>
              <w:rPr>
                <w:sz w:val="21"/>
              </w:rPr>
              <w:t>绿色出行倡导工程</w:t>
            </w:r>
          </w:p>
        </w:tc>
        <w:tc>
          <w:tcPr>
            <w:tcW w:w="2198" w:type="pct"/>
            <w:tcBorders>
              <w:top w:val="single" w:sz="4" w:space="0" w:color="auto"/>
              <w:left w:val="single" w:sz="4" w:space="0" w:color="auto"/>
              <w:bottom w:val="single" w:sz="4" w:space="0" w:color="auto"/>
              <w:right w:val="single" w:sz="4" w:space="0" w:color="auto"/>
            </w:tcBorders>
            <w:shd w:val="clear" w:color="auto" w:fill="auto"/>
            <w:noWrap/>
            <w:vAlign w:val="center"/>
          </w:tcPr>
          <w:p>
            <w:pPr>
              <w:adjustRightInd w:val="0"/>
              <w:snapToGrid w:val="0"/>
              <w:spacing w:line="240" w:lineRule="auto"/>
              <w:ind w:firstLine="420"/>
              <w:rPr>
                <w:sz w:val="21"/>
              </w:rPr>
            </w:pPr>
            <w:r>
              <w:rPr>
                <w:sz w:val="21"/>
              </w:rPr>
              <w:t>政府采取有效的鼓励措施和宣传模式，引导更多的人参与到“绿色出行方式”的活动中。设定专门的无车日和公交周，鼓励购买小排量、新能源等环保车型。</w:t>
            </w:r>
          </w:p>
        </w:tc>
        <w:tc>
          <w:tcPr>
            <w:tcW w:w="418" w:type="pct"/>
            <w:tcBorders>
              <w:top w:val="single" w:sz="4" w:space="0" w:color="auto"/>
              <w:left w:val="single" w:sz="4" w:space="0" w:color="auto"/>
              <w:bottom w:val="single" w:sz="4" w:space="0" w:color="auto"/>
              <w:right w:val="single" w:sz="4" w:space="0" w:color="auto"/>
            </w:tcBorders>
            <w:shd w:val="clear" w:color="auto" w:fill="auto"/>
            <w:noWrap/>
            <w:vAlign w:val="center"/>
          </w:tcPr>
          <w:p>
            <w:pPr>
              <w:adjustRightInd w:val="0"/>
              <w:snapToGrid w:val="0"/>
              <w:spacing w:line="240" w:lineRule="auto"/>
              <w:jc w:val="center"/>
              <w:rPr>
                <w:sz w:val="21"/>
              </w:rPr>
            </w:pPr>
            <w:r>
              <w:rPr>
                <w:sz w:val="21"/>
              </w:rPr>
              <w:t>2023-2025</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tcPr>
          <w:p>
            <w:pPr>
              <w:adjustRightInd w:val="0"/>
              <w:snapToGrid w:val="0"/>
              <w:spacing w:line="240" w:lineRule="auto"/>
              <w:jc w:val="center"/>
              <w:rPr>
                <w:sz w:val="21"/>
              </w:rPr>
            </w:pPr>
            <w:r>
              <w:rPr>
                <w:sz w:val="21"/>
              </w:rPr>
              <w:t>100</w:t>
            </w:r>
          </w:p>
        </w:tc>
        <w:tc>
          <w:tcPr>
            <w:tcW w:w="703" w:type="pct"/>
            <w:tcBorders>
              <w:top w:val="single" w:sz="4" w:space="0" w:color="auto"/>
              <w:left w:val="single" w:sz="4" w:space="0" w:color="auto"/>
              <w:bottom w:val="single" w:sz="4" w:space="0" w:color="auto"/>
              <w:right w:val="single" w:sz="4" w:space="0" w:color="auto"/>
            </w:tcBorders>
            <w:shd w:val="clear" w:color="auto" w:fill="auto"/>
            <w:noWrap/>
            <w:vAlign w:val="center"/>
          </w:tcPr>
          <w:p>
            <w:pPr>
              <w:spacing w:line="320" w:lineRule="exact"/>
              <w:jc w:val="center"/>
              <w:rPr>
                <w:sz w:val="21"/>
              </w:rPr>
            </w:pPr>
            <w:r>
              <w:rPr>
                <w:sz w:val="21"/>
              </w:rPr>
              <w:t>雨花台生态环境局</w:t>
            </w:r>
          </w:p>
          <w:p>
            <w:pPr>
              <w:adjustRightInd w:val="0"/>
              <w:snapToGrid w:val="0"/>
              <w:spacing w:line="240" w:lineRule="auto"/>
              <w:jc w:val="center"/>
              <w:rPr>
                <w:sz w:val="21"/>
              </w:rPr>
            </w:pPr>
            <w:r>
              <w:rPr>
                <w:sz w:val="21"/>
              </w:rPr>
              <w:t>区财政局</w:t>
            </w:r>
          </w:p>
        </w:tc>
      </w:tr>
      <w:tr>
        <w:trPr>
          <w:trHeight w:val="340"/>
        </w:trPr>
        <w:tc>
          <w:tcPr>
            <w:tcW w:w="287" w:type="pct"/>
            <w:vMerge/>
            <w:tcBorders>
              <w:top w:val="single" w:sz="4" w:space="0" w:color="auto"/>
              <w:left w:val="single" w:sz="4" w:space="0" w:color="auto"/>
              <w:bottom w:val="single" w:sz="4" w:space="0" w:color="auto"/>
              <w:right w:val="single" w:sz="4" w:space="0" w:color="auto"/>
            </w:tcBorders>
            <w:shd w:val="clear" w:color="auto" w:fill="auto"/>
            <w:noWrap/>
            <w:vAlign w:val="center"/>
          </w:tcPr>
          <w:p/>
        </w:tc>
        <w:tc>
          <w:tcPr>
            <w:tcW w:w="173" w:type="pct"/>
            <w:tcBorders>
              <w:top w:val="single" w:sz="4" w:space="0" w:color="auto"/>
              <w:left w:val="single" w:sz="4" w:space="0" w:color="auto"/>
              <w:bottom w:val="single" w:sz="4" w:space="0" w:color="auto"/>
              <w:right w:val="single" w:sz="4" w:space="0" w:color="auto"/>
            </w:tcBorders>
            <w:shd w:val="clear" w:color="auto" w:fill="auto"/>
            <w:noWrap/>
            <w:vAlign w:val="center"/>
          </w:tcPr>
          <w:p>
            <w:pPr>
              <w:numPr>
                <w:ilvl w:val="0"/>
                <w:numId w:val="11"/>
              </w:numPr>
              <w:adjustRightInd w:val="0"/>
              <w:snapToGrid w:val="0"/>
              <w:spacing w:line="240" w:lineRule="auto"/>
              <w:ind w:left="0" w:firstLine="0"/>
              <w:jc w:val="center"/>
              <w:rPr>
                <w:sz w:val="21"/>
              </w:rPr>
            </w:pPr>
          </w:p>
        </w:tc>
        <w:tc>
          <w:tcPr>
            <w:tcW w:w="798" w:type="pct"/>
            <w:tcBorders>
              <w:top w:val="single" w:sz="4" w:space="0" w:color="auto"/>
              <w:left w:val="single" w:sz="4" w:space="0" w:color="auto"/>
              <w:bottom w:val="single" w:sz="4" w:space="0" w:color="auto"/>
              <w:right w:val="single" w:sz="4" w:space="0" w:color="auto"/>
            </w:tcBorders>
            <w:shd w:val="clear" w:color="auto" w:fill="auto"/>
            <w:noWrap/>
            <w:vAlign w:val="center"/>
          </w:tcPr>
          <w:p>
            <w:pPr>
              <w:spacing w:line="240" w:lineRule="auto"/>
              <w:contextualSpacing/>
              <w:jc w:val="center"/>
              <w:rPr>
                <w:sz w:val="21"/>
              </w:rPr>
            </w:pPr>
            <w:r>
              <w:rPr>
                <w:sz w:val="21"/>
              </w:rPr>
              <w:t>政府绿色采购工程</w:t>
            </w:r>
          </w:p>
        </w:tc>
        <w:tc>
          <w:tcPr>
            <w:tcW w:w="2198" w:type="pct"/>
            <w:tcBorders>
              <w:top w:val="single" w:sz="4" w:space="0" w:color="auto"/>
              <w:left w:val="single" w:sz="4" w:space="0" w:color="auto"/>
              <w:bottom w:val="single" w:sz="4" w:space="0" w:color="auto"/>
              <w:right w:val="single" w:sz="4" w:space="0" w:color="auto"/>
            </w:tcBorders>
            <w:shd w:val="clear" w:color="auto" w:fill="auto"/>
            <w:noWrap/>
            <w:vAlign w:val="center"/>
          </w:tcPr>
          <w:p>
            <w:pPr>
              <w:adjustRightInd w:val="0"/>
              <w:snapToGrid w:val="0"/>
              <w:spacing w:line="240" w:lineRule="auto"/>
              <w:ind w:firstLine="420"/>
              <w:rPr>
                <w:sz w:val="21"/>
              </w:rPr>
            </w:pPr>
            <w:r>
              <w:rPr>
                <w:sz w:val="21"/>
              </w:rPr>
              <w:t>将绿色采购纳入政府采购管理办法，区各级政府采购节能环保产品和环境标准产品所占比例持续提升。</w:t>
            </w:r>
          </w:p>
        </w:tc>
        <w:tc>
          <w:tcPr>
            <w:tcW w:w="418" w:type="pct"/>
            <w:tcBorders>
              <w:top w:val="single" w:sz="4" w:space="0" w:color="auto"/>
              <w:left w:val="single" w:sz="4" w:space="0" w:color="auto"/>
              <w:bottom w:val="single" w:sz="4" w:space="0" w:color="auto"/>
              <w:right w:val="single" w:sz="4" w:space="0" w:color="auto"/>
            </w:tcBorders>
            <w:shd w:val="clear" w:color="auto" w:fill="auto"/>
            <w:noWrap/>
            <w:vAlign w:val="center"/>
          </w:tcPr>
          <w:p>
            <w:pPr>
              <w:adjustRightInd w:val="0"/>
              <w:snapToGrid w:val="0"/>
              <w:spacing w:line="240" w:lineRule="auto"/>
              <w:jc w:val="center"/>
              <w:rPr>
                <w:sz w:val="21"/>
              </w:rPr>
            </w:pPr>
            <w:r>
              <w:rPr>
                <w:sz w:val="21"/>
              </w:rPr>
              <w:t>2023-2025</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tcPr>
          <w:p>
            <w:pPr>
              <w:adjustRightInd w:val="0"/>
              <w:snapToGrid w:val="0"/>
              <w:spacing w:line="240" w:lineRule="auto"/>
              <w:jc w:val="center"/>
              <w:rPr>
                <w:sz w:val="21"/>
              </w:rPr>
            </w:pPr>
            <w:r>
              <w:rPr>
                <w:sz w:val="21"/>
              </w:rPr>
              <w:t>100</w:t>
            </w:r>
          </w:p>
        </w:tc>
        <w:tc>
          <w:tcPr>
            <w:tcW w:w="703" w:type="pct"/>
            <w:tcBorders>
              <w:top w:val="single" w:sz="4" w:space="0" w:color="auto"/>
              <w:left w:val="single" w:sz="4" w:space="0" w:color="auto"/>
              <w:bottom w:val="single" w:sz="4" w:space="0" w:color="auto"/>
              <w:right w:val="single" w:sz="4" w:space="0" w:color="auto"/>
            </w:tcBorders>
            <w:shd w:val="clear" w:color="auto" w:fill="auto"/>
            <w:noWrap/>
            <w:vAlign w:val="center"/>
          </w:tcPr>
          <w:p>
            <w:pPr>
              <w:adjustRightInd w:val="0"/>
              <w:snapToGrid w:val="0"/>
              <w:spacing w:line="240" w:lineRule="auto"/>
              <w:jc w:val="center"/>
              <w:rPr>
                <w:sz w:val="21"/>
              </w:rPr>
            </w:pPr>
            <w:r>
              <w:rPr>
                <w:sz w:val="21"/>
              </w:rPr>
              <w:t>区财政局、各采购部门</w:t>
            </w:r>
          </w:p>
        </w:tc>
      </w:tr>
      <w:tr>
        <w:trPr>
          <w:trHeight w:val="340"/>
        </w:trPr>
        <w:tc>
          <w:tcPr>
            <w:tcW w:w="287" w:type="pct"/>
            <w:vMerge/>
            <w:tcBorders>
              <w:top w:val="single" w:sz="4" w:space="0" w:color="auto"/>
              <w:left w:val="single" w:sz="4" w:space="0" w:color="auto"/>
              <w:bottom w:val="single" w:sz="4" w:space="0" w:color="auto"/>
              <w:right w:val="single" w:sz="4" w:space="0" w:color="auto"/>
            </w:tcBorders>
            <w:shd w:val="clear" w:color="auto" w:fill="auto"/>
            <w:noWrap/>
            <w:vAlign w:val="center"/>
          </w:tcPr>
          <w:p/>
        </w:tc>
        <w:tc>
          <w:tcPr>
            <w:tcW w:w="173" w:type="pct"/>
            <w:tcBorders>
              <w:top w:val="single" w:sz="4" w:space="0" w:color="auto"/>
              <w:left w:val="single" w:sz="4" w:space="0" w:color="auto"/>
              <w:bottom w:val="single" w:sz="4" w:space="0" w:color="auto"/>
              <w:right w:val="single" w:sz="4" w:space="0" w:color="auto"/>
            </w:tcBorders>
            <w:shd w:val="clear" w:color="auto" w:fill="auto"/>
            <w:noWrap/>
            <w:vAlign w:val="center"/>
          </w:tcPr>
          <w:p>
            <w:pPr>
              <w:numPr>
                <w:ilvl w:val="0"/>
                <w:numId w:val="11"/>
              </w:numPr>
              <w:adjustRightInd w:val="0"/>
              <w:snapToGrid w:val="0"/>
              <w:spacing w:line="240" w:lineRule="auto"/>
              <w:ind w:left="0" w:firstLine="0"/>
              <w:jc w:val="center"/>
              <w:rPr>
                <w:sz w:val="21"/>
              </w:rPr>
            </w:pPr>
          </w:p>
        </w:tc>
        <w:tc>
          <w:tcPr>
            <w:tcW w:w="798" w:type="pct"/>
            <w:tcBorders>
              <w:top w:val="single" w:sz="4" w:space="0" w:color="auto"/>
              <w:left w:val="single" w:sz="4" w:space="0" w:color="auto"/>
              <w:bottom w:val="single" w:sz="4" w:space="0" w:color="auto"/>
              <w:right w:val="single" w:sz="4" w:space="0" w:color="auto"/>
            </w:tcBorders>
            <w:shd w:val="clear" w:color="auto" w:fill="auto"/>
            <w:noWrap/>
            <w:vAlign w:val="center"/>
          </w:tcPr>
          <w:p>
            <w:pPr>
              <w:adjustRightInd w:val="0"/>
              <w:snapToGrid w:val="0"/>
              <w:spacing w:line="240" w:lineRule="auto"/>
              <w:jc w:val="center"/>
              <w:rPr>
                <w:sz w:val="21"/>
              </w:rPr>
            </w:pPr>
            <w:r>
              <w:rPr>
                <w:bCs/>
                <w:sz w:val="21"/>
              </w:rPr>
              <w:t>政府无纸化办公工程</w:t>
            </w:r>
          </w:p>
        </w:tc>
        <w:tc>
          <w:tcPr>
            <w:tcW w:w="2198" w:type="pct"/>
            <w:tcBorders>
              <w:top w:val="single" w:sz="4" w:space="0" w:color="auto"/>
              <w:left w:val="single" w:sz="4" w:space="0" w:color="auto"/>
              <w:bottom w:val="single" w:sz="4" w:space="0" w:color="auto"/>
              <w:right w:val="single" w:sz="4" w:space="0" w:color="auto"/>
            </w:tcBorders>
            <w:shd w:val="clear" w:color="auto" w:fill="auto"/>
            <w:noWrap/>
            <w:vAlign w:val="center"/>
          </w:tcPr>
          <w:p>
            <w:pPr>
              <w:adjustRightInd w:val="0"/>
              <w:snapToGrid w:val="0"/>
              <w:spacing w:line="240" w:lineRule="auto"/>
              <w:ind w:firstLine="420"/>
              <w:rPr>
                <w:sz w:val="21"/>
              </w:rPr>
            </w:pPr>
            <w:r>
              <w:rPr>
                <w:bCs/>
                <w:sz w:val="21"/>
              </w:rPr>
              <w:t>政府倡导，各部门参与实行无纸化办公，推行电子化办公。</w:t>
            </w:r>
          </w:p>
        </w:tc>
        <w:tc>
          <w:tcPr>
            <w:tcW w:w="418" w:type="pct"/>
            <w:tcBorders>
              <w:top w:val="single" w:sz="4" w:space="0" w:color="auto"/>
              <w:left w:val="single" w:sz="4" w:space="0" w:color="auto"/>
              <w:bottom w:val="single" w:sz="4" w:space="0" w:color="auto"/>
              <w:right w:val="single" w:sz="4" w:space="0" w:color="auto"/>
            </w:tcBorders>
            <w:shd w:val="clear" w:color="auto" w:fill="auto"/>
            <w:noWrap/>
            <w:vAlign w:val="center"/>
          </w:tcPr>
          <w:p>
            <w:pPr>
              <w:adjustRightInd w:val="0"/>
              <w:snapToGrid w:val="0"/>
              <w:spacing w:line="240" w:lineRule="auto"/>
              <w:jc w:val="center"/>
              <w:rPr>
                <w:sz w:val="21"/>
              </w:rPr>
            </w:pPr>
            <w:r>
              <w:rPr>
                <w:sz w:val="21"/>
              </w:rPr>
              <w:t>2023-2025</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tcPr>
          <w:p>
            <w:pPr>
              <w:adjustRightInd w:val="0"/>
              <w:snapToGrid w:val="0"/>
              <w:spacing w:line="240" w:lineRule="auto"/>
              <w:jc w:val="center"/>
              <w:rPr>
                <w:sz w:val="21"/>
              </w:rPr>
            </w:pPr>
            <w:r>
              <w:rPr>
                <w:sz w:val="21"/>
              </w:rPr>
              <w:t>150</w:t>
            </w:r>
          </w:p>
        </w:tc>
        <w:tc>
          <w:tcPr>
            <w:tcW w:w="703" w:type="pct"/>
            <w:tcBorders>
              <w:top w:val="single" w:sz="4" w:space="0" w:color="auto"/>
              <w:left w:val="single" w:sz="4" w:space="0" w:color="auto"/>
              <w:bottom w:val="single" w:sz="4" w:space="0" w:color="auto"/>
              <w:right w:val="single" w:sz="4" w:space="0" w:color="auto"/>
            </w:tcBorders>
            <w:shd w:val="clear" w:color="auto" w:fill="auto"/>
            <w:noWrap/>
            <w:vAlign w:val="center"/>
          </w:tcPr>
          <w:p>
            <w:pPr>
              <w:adjustRightInd w:val="0"/>
              <w:snapToGrid w:val="0"/>
              <w:spacing w:line="240" w:lineRule="auto"/>
              <w:jc w:val="center"/>
              <w:rPr>
                <w:sz w:val="21"/>
              </w:rPr>
            </w:pPr>
            <w:r>
              <w:rPr>
                <w:bCs/>
                <w:sz w:val="21"/>
              </w:rPr>
              <w:t>区政府、区委办</w:t>
            </w:r>
          </w:p>
        </w:tc>
      </w:tr>
      <w:tr>
        <w:trPr>
          <w:trHeight w:val="340"/>
        </w:trPr>
        <w:tc>
          <w:tcPr>
            <w:tcW w:w="287"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pPr>
              <w:adjustRightInd w:val="0"/>
              <w:snapToGrid w:val="0"/>
              <w:spacing w:line="240" w:lineRule="auto"/>
              <w:jc w:val="center"/>
              <w:rPr>
                <w:sz w:val="21"/>
              </w:rPr>
            </w:pPr>
            <w:r>
              <w:rPr>
                <w:sz w:val="21"/>
              </w:rPr>
              <w:t>生态文化引导工程</w:t>
            </w:r>
          </w:p>
        </w:tc>
        <w:tc>
          <w:tcPr>
            <w:tcW w:w="173" w:type="pct"/>
            <w:tcBorders>
              <w:top w:val="single" w:sz="4" w:space="0" w:color="auto"/>
              <w:left w:val="single" w:sz="4" w:space="0" w:color="auto"/>
              <w:bottom w:val="single" w:sz="4" w:space="0" w:color="auto"/>
              <w:right w:val="single" w:sz="4" w:space="0" w:color="auto"/>
            </w:tcBorders>
            <w:shd w:val="clear" w:color="auto" w:fill="auto"/>
            <w:noWrap/>
            <w:vAlign w:val="center"/>
          </w:tcPr>
          <w:p>
            <w:pPr>
              <w:numPr>
                <w:ilvl w:val="0"/>
                <w:numId w:val="11"/>
              </w:numPr>
              <w:adjustRightInd w:val="0"/>
              <w:snapToGrid w:val="0"/>
              <w:spacing w:line="240" w:lineRule="auto"/>
              <w:ind w:left="0" w:firstLine="0"/>
              <w:jc w:val="center"/>
              <w:rPr>
                <w:sz w:val="21"/>
              </w:rPr>
            </w:pPr>
          </w:p>
        </w:tc>
        <w:tc>
          <w:tcPr>
            <w:tcW w:w="798" w:type="pct"/>
            <w:tcBorders>
              <w:top w:val="single" w:sz="4" w:space="0" w:color="auto"/>
              <w:left w:val="single" w:sz="4" w:space="0" w:color="auto"/>
              <w:bottom w:val="single" w:sz="4" w:space="0" w:color="auto"/>
              <w:right w:val="single" w:sz="4" w:space="0" w:color="auto"/>
            </w:tcBorders>
            <w:shd w:val="clear" w:color="auto" w:fill="auto"/>
            <w:noWrap/>
            <w:vAlign w:val="center"/>
          </w:tcPr>
          <w:p>
            <w:pPr>
              <w:adjustRightInd w:val="0"/>
              <w:snapToGrid w:val="0"/>
              <w:spacing w:line="240" w:lineRule="auto"/>
              <w:jc w:val="center"/>
              <w:rPr>
                <w:sz w:val="21"/>
              </w:rPr>
            </w:pPr>
            <w:r>
              <w:rPr>
                <w:sz w:val="21"/>
              </w:rPr>
              <w:t>生态文明教育工程</w:t>
            </w:r>
          </w:p>
        </w:tc>
        <w:tc>
          <w:tcPr>
            <w:tcW w:w="2198" w:type="pct"/>
            <w:tcBorders>
              <w:top w:val="single" w:sz="4" w:space="0" w:color="auto"/>
              <w:left w:val="single" w:sz="4" w:space="0" w:color="auto"/>
              <w:bottom w:val="single" w:sz="4" w:space="0" w:color="auto"/>
              <w:right w:val="single" w:sz="4" w:space="0" w:color="auto"/>
            </w:tcBorders>
            <w:shd w:val="clear" w:color="auto" w:fill="auto"/>
            <w:noWrap/>
            <w:vAlign w:val="center"/>
          </w:tcPr>
          <w:p>
            <w:pPr>
              <w:adjustRightInd w:val="0"/>
              <w:snapToGrid w:val="0"/>
              <w:spacing w:line="240" w:lineRule="auto"/>
              <w:ind w:firstLine="420"/>
              <w:rPr>
                <w:sz w:val="21"/>
              </w:rPr>
            </w:pPr>
            <w:r>
              <w:rPr>
                <w:sz w:val="21"/>
              </w:rPr>
              <w:t>组织生态文明建设方面的专家，开展党政领导干部培训讲座，持续推动党政干部参加生态文明培训。</w:t>
            </w:r>
          </w:p>
        </w:tc>
        <w:tc>
          <w:tcPr>
            <w:tcW w:w="418" w:type="pct"/>
            <w:tcBorders>
              <w:top w:val="single" w:sz="4" w:space="0" w:color="auto"/>
              <w:left w:val="single" w:sz="4" w:space="0" w:color="auto"/>
              <w:bottom w:val="single" w:sz="4" w:space="0" w:color="auto"/>
              <w:right w:val="single" w:sz="4" w:space="0" w:color="auto"/>
            </w:tcBorders>
            <w:shd w:val="clear" w:color="auto" w:fill="auto"/>
            <w:noWrap/>
            <w:vAlign w:val="center"/>
          </w:tcPr>
          <w:p>
            <w:pPr>
              <w:adjustRightInd w:val="0"/>
              <w:snapToGrid w:val="0"/>
              <w:spacing w:line="240" w:lineRule="auto"/>
              <w:jc w:val="center"/>
              <w:rPr>
                <w:sz w:val="21"/>
              </w:rPr>
            </w:pPr>
            <w:r>
              <w:rPr>
                <w:sz w:val="21"/>
              </w:rPr>
              <w:t>2023-2030</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tcPr>
          <w:p>
            <w:pPr>
              <w:adjustRightInd w:val="0"/>
              <w:snapToGrid w:val="0"/>
              <w:spacing w:line="240" w:lineRule="auto"/>
              <w:jc w:val="center"/>
              <w:rPr>
                <w:sz w:val="21"/>
              </w:rPr>
            </w:pPr>
            <w:r>
              <w:rPr>
                <w:sz w:val="21"/>
              </w:rPr>
              <w:t>100</w:t>
            </w:r>
          </w:p>
        </w:tc>
        <w:tc>
          <w:tcPr>
            <w:tcW w:w="703" w:type="pct"/>
            <w:tcBorders>
              <w:top w:val="single" w:sz="4" w:space="0" w:color="auto"/>
              <w:left w:val="single" w:sz="4" w:space="0" w:color="auto"/>
              <w:bottom w:val="single" w:sz="4" w:space="0" w:color="auto"/>
              <w:right w:val="single" w:sz="4" w:space="0" w:color="auto"/>
            </w:tcBorders>
            <w:shd w:val="clear" w:color="auto" w:fill="auto"/>
            <w:noWrap/>
            <w:vAlign w:val="center"/>
          </w:tcPr>
          <w:p>
            <w:pPr>
              <w:adjustRightInd w:val="0"/>
              <w:snapToGrid w:val="0"/>
              <w:spacing w:line="240" w:lineRule="auto"/>
              <w:jc w:val="center"/>
              <w:rPr>
                <w:sz w:val="21"/>
              </w:rPr>
            </w:pPr>
            <w:r>
              <w:rPr>
                <w:sz w:val="21"/>
              </w:rPr>
              <w:t>雨花台生态环境局</w:t>
            </w:r>
          </w:p>
        </w:tc>
      </w:tr>
      <w:tr>
        <w:trPr>
          <w:trHeight w:val="340"/>
        </w:trPr>
        <w:tc>
          <w:tcPr>
            <w:tcW w:w="287" w:type="pct"/>
            <w:vMerge/>
            <w:tcBorders>
              <w:top w:val="single" w:sz="4" w:space="0" w:color="auto"/>
              <w:left w:val="single" w:sz="4" w:space="0" w:color="auto"/>
              <w:bottom w:val="single" w:sz="4" w:space="0" w:color="auto"/>
              <w:right w:val="single" w:sz="4" w:space="0" w:color="auto"/>
            </w:tcBorders>
            <w:shd w:val="clear" w:color="auto" w:fill="auto"/>
            <w:noWrap/>
            <w:vAlign w:val="center"/>
          </w:tcPr>
          <w:p/>
        </w:tc>
        <w:tc>
          <w:tcPr>
            <w:tcW w:w="173" w:type="pct"/>
            <w:tcBorders>
              <w:top w:val="single" w:sz="4" w:space="0" w:color="auto"/>
              <w:left w:val="single" w:sz="4" w:space="0" w:color="auto"/>
              <w:bottom w:val="single" w:sz="4" w:space="0" w:color="auto"/>
              <w:right w:val="single" w:sz="4" w:space="0" w:color="auto"/>
            </w:tcBorders>
            <w:shd w:val="clear" w:color="auto" w:fill="auto"/>
            <w:noWrap/>
            <w:vAlign w:val="center"/>
          </w:tcPr>
          <w:p>
            <w:pPr>
              <w:numPr>
                <w:ilvl w:val="0"/>
                <w:numId w:val="11"/>
              </w:numPr>
              <w:adjustRightInd w:val="0"/>
              <w:snapToGrid w:val="0"/>
              <w:spacing w:line="240" w:lineRule="auto"/>
              <w:ind w:left="0" w:firstLine="0"/>
              <w:jc w:val="center"/>
              <w:rPr>
                <w:sz w:val="21"/>
              </w:rPr>
            </w:pPr>
          </w:p>
        </w:tc>
        <w:tc>
          <w:tcPr>
            <w:tcW w:w="798" w:type="pct"/>
            <w:tcBorders>
              <w:top w:val="single" w:sz="4" w:space="0" w:color="auto"/>
              <w:left w:val="single" w:sz="4" w:space="0" w:color="auto"/>
              <w:bottom w:val="single" w:sz="4" w:space="0" w:color="auto"/>
              <w:right w:val="single" w:sz="4" w:space="0" w:color="auto"/>
            </w:tcBorders>
            <w:shd w:val="clear" w:color="auto" w:fill="auto"/>
            <w:noWrap/>
            <w:vAlign w:val="center"/>
          </w:tcPr>
          <w:p>
            <w:pPr>
              <w:adjustRightInd w:val="0"/>
              <w:snapToGrid w:val="0"/>
              <w:spacing w:line="240" w:lineRule="auto"/>
              <w:jc w:val="center"/>
              <w:rPr>
                <w:sz w:val="21"/>
              </w:rPr>
            </w:pPr>
            <w:r>
              <w:rPr>
                <w:sz w:val="21"/>
              </w:rPr>
              <w:t>生态文明宣传工程</w:t>
            </w:r>
          </w:p>
        </w:tc>
        <w:tc>
          <w:tcPr>
            <w:tcW w:w="2198" w:type="pct"/>
            <w:tcBorders>
              <w:top w:val="single" w:sz="4" w:space="0" w:color="auto"/>
              <w:left w:val="single" w:sz="4" w:space="0" w:color="auto"/>
              <w:bottom w:val="single" w:sz="4" w:space="0" w:color="auto"/>
              <w:right w:val="single" w:sz="4" w:space="0" w:color="auto"/>
            </w:tcBorders>
            <w:shd w:val="clear" w:color="auto" w:fill="auto"/>
            <w:noWrap/>
            <w:vAlign w:val="center"/>
          </w:tcPr>
          <w:p>
            <w:pPr>
              <w:adjustRightInd w:val="0"/>
              <w:snapToGrid w:val="0"/>
              <w:spacing w:line="240" w:lineRule="auto"/>
              <w:ind w:firstLine="420"/>
              <w:rPr>
                <w:sz w:val="21"/>
              </w:rPr>
            </w:pPr>
            <w:r>
              <w:rPr>
                <w:sz w:val="21"/>
              </w:rPr>
              <w:t>以纪念时节、生态文明领域竞赛和征文比赛等为契机和抓手，广泛开展宣传活动。</w:t>
            </w:r>
          </w:p>
        </w:tc>
        <w:tc>
          <w:tcPr>
            <w:tcW w:w="418" w:type="pct"/>
            <w:tcBorders>
              <w:top w:val="single" w:sz="4" w:space="0" w:color="auto"/>
              <w:left w:val="single" w:sz="4" w:space="0" w:color="auto"/>
              <w:bottom w:val="single" w:sz="4" w:space="0" w:color="auto"/>
              <w:right w:val="single" w:sz="4" w:space="0" w:color="auto"/>
            </w:tcBorders>
            <w:shd w:val="clear" w:color="auto" w:fill="auto"/>
            <w:noWrap/>
            <w:vAlign w:val="center"/>
          </w:tcPr>
          <w:p>
            <w:pPr>
              <w:adjustRightInd w:val="0"/>
              <w:snapToGrid w:val="0"/>
              <w:spacing w:line="240" w:lineRule="auto"/>
              <w:jc w:val="center"/>
              <w:rPr>
                <w:sz w:val="21"/>
              </w:rPr>
            </w:pPr>
            <w:r>
              <w:rPr>
                <w:sz w:val="21"/>
              </w:rPr>
              <w:t>2023-2030</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tcPr>
          <w:p>
            <w:pPr>
              <w:adjustRightInd w:val="0"/>
              <w:snapToGrid w:val="0"/>
              <w:spacing w:line="240" w:lineRule="auto"/>
              <w:jc w:val="center"/>
              <w:rPr>
                <w:sz w:val="21"/>
              </w:rPr>
            </w:pPr>
            <w:r>
              <w:rPr>
                <w:sz w:val="21"/>
              </w:rPr>
              <w:t>100</w:t>
            </w:r>
          </w:p>
        </w:tc>
        <w:tc>
          <w:tcPr>
            <w:tcW w:w="703" w:type="pct"/>
            <w:tcBorders>
              <w:top w:val="single" w:sz="4" w:space="0" w:color="auto"/>
              <w:left w:val="single" w:sz="4" w:space="0" w:color="auto"/>
              <w:bottom w:val="single" w:sz="4" w:space="0" w:color="auto"/>
              <w:right w:val="single" w:sz="4" w:space="0" w:color="auto"/>
            </w:tcBorders>
            <w:shd w:val="clear" w:color="auto" w:fill="auto"/>
            <w:noWrap/>
            <w:vAlign w:val="center"/>
          </w:tcPr>
          <w:p>
            <w:pPr>
              <w:adjustRightInd w:val="0"/>
              <w:snapToGrid w:val="0"/>
              <w:spacing w:line="240" w:lineRule="auto"/>
              <w:jc w:val="center"/>
              <w:rPr>
                <w:sz w:val="21"/>
              </w:rPr>
            </w:pPr>
            <w:r>
              <w:rPr>
                <w:sz w:val="21"/>
              </w:rPr>
              <w:t>雨花台生态环境局</w:t>
            </w:r>
          </w:p>
        </w:tc>
      </w:tr>
      <w:tr>
        <w:trPr>
          <w:trHeight w:val="340"/>
        </w:trPr>
        <w:tc>
          <w:tcPr>
            <w:tcW w:w="287" w:type="pct"/>
            <w:vMerge/>
            <w:tcBorders>
              <w:top w:val="single" w:sz="4" w:space="0" w:color="auto"/>
              <w:left w:val="single" w:sz="4" w:space="0" w:color="auto"/>
              <w:bottom w:val="single" w:sz="4" w:space="0" w:color="auto"/>
              <w:right w:val="single" w:sz="4" w:space="0" w:color="auto"/>
            </w:tcBorders>
            <w:shd w:val="clear" w:color="auto" w:fill="auto"/>
            <w:noWrap/>
            <w:vAlign w:val="center"/>
          </w:tcPr>
          <w:p/>
        </w:tc>
        <w:tc>
          <w:tcPr>
            <w:tcW w:w="173" w:type="pct"/>
            <w:tcBorders>
              <w:top w:val="single" w:sz="4" w:space="0" w:color="auto"/>
              <w:left w:val="single" w:sz="4" w:space="0" w:color="auto"/>
              <w:bottom w:val="single" w:sz="4" w:space="0" w:color="auto"/>
              <w:right w:val="single" w:sz="4" w:space="0" w:color="auto"/>
            </w:tcBorders>
            <w:shd w:val="clear" w:color="auto" w:fill="auto"/>
            <w:noWrap/>
            <w:vAlign w:val="center"/>
          </w:tcPr>
          <w:p>
            <w:pPr>
              <w:numPr>
                <w:ilvl w:val="0"/>
                <w:numId w:val="11"/>
              </w:numPr>
              <w:adjustRightInd w:val="0"/>
              <w:snapToGrid w:val="0"/>
              <w:spacing w:line="240" w:lineRule="auto"/>
              <w:ind w:left="0" w:firstLine="0"/>
              <w:jc w:val="center"/>
              <w:rPr>
                <w:sz w:val="21"/>
              </w:rPr>
            </w:pPr>
          </w:p>
        </w:tc>
        <w:tc>
          <w:tcPr>
            <w:tcW w:w="798" w:type="pct"/>
            <w:tcBorders>
              <w:top w:val="single" w:sz="4" w:space="0" w:color="auto"/>
              <w:left w:val="single" w:sz="4" w:space="0" w:color="auto"/>
              <w:bottom w:val="single" w:sz="4" w:space="0" w:color="auto"/>
              <w:right w:val="single" w:sz="4" w:space="0" w:color="auto"/>
            </w:tcBorders>
            <w:shd w:val="clear" w:color="auto" w:fill="auto"/>
            <w:noWrap/>
            <w:vAlign w:val="center"/>
          </w:tcPr>
          <w:p>
            <w:pPr>
              <w:adjustRightInd w:val="0"/>
              <w:snapToGrid w:val="0"/>
              <w:spacing w:line="240" w:lineRule="auto"/>
              <w:jc w:val="center"/>
              <w:rPr>
                <w:sz w:val="21"/>
              </w:rPr>
            </w:pPr>
            <w:r>
              <w:rPr>
                <w:sz w:val="21"/>
              </w:rPr>
              <w:t>生态文明共建共享工程</w:t>
            </w:r>
          </w:p>
        </w:tc>
        <w:tc>
          <w:tcPr>
            <w:tcW w:w="2198" w:type="pct"/>
            <w:tcBorders>
              <w:top w:val="single" w:sz="4" w:space="0" w:color="auto"/>
              <w:left w:val="single" w:sz="4" w:space="0" w:color="auto"/>
              <w:bottom w:val="single" w:sz="4" w:space="0" w:color="auto"/>
              <w:right w:val="single" w:sz="4" w:space="0" w:color="auto"/>
            </w:tcBorders>
            <w:shd w:val="clear" w:color="auto" w:fill="auto"/>
            <w:noWrap/>
            <w:vAlign w:val="center"/>
          </w:tcPr>
          <w:p>
            <w:pPr>
              <w:adjustRightInd w:val="0"/>
              <w:snapToGrid w:val="0"/>
              <w:spacing w:line="240" w:lineRule="auto"/>
              <w:ind w:firstLine="420"/>
              <w:rPr>
                <w:sz w:val="21"/>
              </w:rPr>
            </w:pPr>
            <w:r>
              <w:rPr>
                <w:sz w:val="21"/>
              </w:rPr>
              <w:t>加大绿色机关、绿色学校、绿色社区、绿色医院创建。</w:t>
            </w:r>
          </w:p>
        </w:tc>
        <w:tc>
          <w:tcPr>
            <w:tcW w:w="418" w:type="pct"/>
            <w:tcBorders>
              <w:top w:val="single" w:sz="4" w:space="0" w:color="auto"/>
              <w:left w:val="single" w:sz="4" w:space="0" w:color="auto"/>
              <w:bottom w:val="single" w:sz="4" w:space="0" w:color="auto"/>
              <w:right w:val="single" w:sz="4" w:space="0" w:color="auto"/>
            </w:tcBorders>
            <w:shd w:val="clear" w:color="auto" w:fill="auto"/>
            <w:noWrap/>
            <w:vAlign w:val="center"/>
          </w:tcPr>
          <w:p>
            <w:pPr>
              <w:adjustRightInd w:val="0"/>
              <w:snapToGrid w:val="0"/>
              <w:spacing w:line="240" w:lineRule="auto"/>
              <w:jc w:val="center"/>
              <w:rPr>
                <w:sz w:val="21"/>
              </w:rPr>
            </w:pPr>
            <w:r>
              <w:rPr>
                <w:sz w:val="21"/>
              </w:rPr>
              <w:t>2023-2030</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tcPr>
          <w:p>
            <w:pPr>
              <w:adjustRightInd w:val="0"/>
              <w:snapToGrid w:val="0"/>
              <w:spacing w:line="240" w:lineRule="auto"/>
              <w:jc w:val="center"/>
              <w:rPr>
                <w:sz w:val="21"/>
              </w:rPr>
            </w:pPr>
            <w:r>
              <w:rPr>
                <w:sz w:val="21"/>
              </w:rPr>
              <w:t>100</w:t>
            </w:r>
          </w:p>
        </w:tc>
        <w:tc>
          <w:tcPr>
            <w:tcW w:w="703" w:type="pct"/>
            <w:tcBorders>
              <w:top w:val="single" w:sz="4" w:space="0" w:color="auto"/>
              <w:left w:val="single" w:sz="4" w:space="0" w:color="auto"/>
              <w:bottom w:val="single" w:sz="4" w:space="0" w:color="auto"/>
              <w:right w:val="single" w:sz="4" w:space="0" w:color="auto"/>
            </w:tcBorders>
            <w:shd w:val="clear" w:color="auto" w:fill="auto"/>
            <w:noWrap/>
            <w:vAlign w:val="center"/>
          </w:tcPr>
          <w:p>
            <w:pPr>
              <w:adjustRightInd w:val="0"/>
              <w:snapToGrid w:val="0"/>
              <w:spacing w:line="240" w:lineRule="auto"/>
              <w:jc w:val="center"/>
              <w:rPr>
                <w:sz w:val="21"/>
              </w:rPr>
            </w:pPr>
            <w:r>
              <w:rPr>
                <w:sz w:val="21"/>
              </w:rPr>
              <w:t>雨花台生态环境局</w:t>
            </w:r>
          </w:p>
        </w:tc>
      </w:tr>
    </w:tbl>
    <w:p/>
    <w:sectPr>
      <w:pgSz w:w="16838" w:h="11906" w:orient="landscape"/>
      <w:pgMar w:top="1588" w:right="1440" w:bottom="1474" w:left="1985" w:header="851" w:footer="992" w:gutter="0"/>
      <w:docGrid w:type="linesAndChars" w:linePitch="381" w:charSpace="0"/>
    </w:sectPr>
  </w:body>
</w:document>
</file>

<file path=word/fontTable.xml><?xml version="1.0" encoding="utf-8"?>
<w:fonts xmlns:w="http://schemas.openxmlformats.org/wordprocessingml/2006/main" xmlns:r="http://schemas.openxmlformats.org/officeDocument/2006/relationships">
  <w:font w:name="方正小标宋_GBK">
    <w:altName w:val="Arial Unicode MS"/>
    <w:panose1 w:val="03000509000000000000"/>
    <w:charset w:val="86"/>
    <w:family w:val="script"/>
    <w:pitch w:val="variable"/>
    <w:sig w:usb0="00000000" w:usb1="00000000" w:usb2="00000000" w:usb3="00000000" w:csb0="00040000" w:csb1="00000000"/>
  </w:font>
  <w:font w:name="方正仿宋_GBK">
    <w:altName w:val="Arial Unicode MS"/>
    <w:panose1 w:val="03000509000000000000"/>
    <w:charset w:val="86"/>
    <w:family w:val="script"/>
    <w:pitch w:val="variable"/>
    <w:sig w:usb0="00000000" w:usb1="00000000" w:usb2="00000000" w:usb3="00000000" w:csb0="00040000" w:csb1="00000000"/>
  </w:font>
  <w:font w:name="Cambria Math">
    <w:altName w:val="DejaVu Sans"/>
    <w:panose1 w:val="02040503050406030204"/>
    <w:charset w:val="00"/>
    <w:family w:val="roman"/>
    <w:pitch w:val="variable"/>
    <w:sig w:usb0="E00006FF" w:usb1="420024FF" w:usb2="02000000" w:usb3="00000000" w:csb0="2000019F" w:csb1="00000000"/>
  </w:font>
  <w:font w:name="宋体">
    <w:panose1 w:val="02010600030101010101"/>
    <w:charset w:val="86"/>
    <w:family w:val="auto"/>
    <w:pitch w:val="variable"/>
    <w:sig w:usb0="00000203" w:usb1="288F0000" w:usb2="00000006" w:usb3="00000000" w:csb0="00040001" w:csb1="00000000"/>
  </w:font>
  <w:font w:name="方正楷体_GBK">
    <w:altName w:val="Arial Unicode MS"/>
    <w:panose1 w:val="03000509000000000000"/>
    <w:charset w:val="86"/>
    <w:family w:val="script"/>
    <w:pitch w:val="variable"/>
    <w:sig w:usb0="00000000" w:usb1="00000000" w:usb2="00000000" w:usb3="00000000" w:csb0="00040000" w:csb1="00000000"/>
  </w:font>
  <w:font w:name="方正黑体_GBK">
    <w:altName w:val="Arial Unicode MS"/>
    <w:panose1 w:val="03000509000000000000"/>
    <w:charset w:val="86"/>
    <w:family w:val="script"/>
    <w:pitch w:val="variable"/>
    <w:sig w:usb0="00000000" w:usb1="00000000" w:usb2="00000000" w:usb3="00000000" w:csb0="00040000" w:csb1="00000000"/>
  </w:font>
  <w:font w:name="仿宋">
    <w:panose1 w:val="02010609060101010101"/>
    <w:charset w:val="86"/>
    <w:family w:val="modern"/>
    <w:pitch w:val="variable"/>
    <w:sig w:usb0="800002BF" w:usb1="38CF7CFA" w:usb2="00000016" w:usb3="00000000" w:csb0="00040001" w:csb1="00000000"/>
  </w:font>
  <w:font w:name="Times New Roman">
    <w:panose1 w:val="02020603050405020304"/>
    <w:charset w:val="00"/>
    <w:family w:val="roman"/>
    <w:pitch w:val="variable"/>
    <w:sig w:usb0="20007A87" w:usb1="80000000" w:usb2="00000008" w:usb3="00000000" w:csb0="000001FF" w:csb1="00000000"/>
  </w:font>
  <w:font w:name="等线 Light">
    <w:altName w:val="宋体"/>
    <w:panose1 w:val="02010600030101010101"/>
    <w:charset w:val="86"/>
    <w:family w:val="auto"/>
    <w:pitch w:val="variable"/>
    <w:sig w:usb0="A00002BF" w:usb1="38CF7CFA" w:usb2="00000016" w:usb3="00000000" w:csb0="0004000F" w:csb1="00000000"/>
  </w:font>
  <w:font w:name="等线">
    <w:altName w:val="宋体"/>
    <w:panose1 w:val="02010600030101010101"/>
    <w:charset w:val="86"/>
    <w:family w:val="auto"/>
    <w:pitch w:val="variable"/>
    <w:sig w:usb0="A00002BF" w:usb1="38CF7CFA" w:usb2="00000016" w:usb3="00000000" w:csb0="0004000F" w:csb1="00000000"/>
  </w:font>
  <w:font w:name="Arial">
    <w:altName w:val="DejaVu Sans"/>
    <w:panose1 w:val="020B0604020202020204"/>
    <w:charset w:val="01"/>
    <w:family w:val="swiss"/>
    <w:pitch w:val="variable"/>
    <w:sig w:usb0="E0002EFF" w:usb1="C000785B" w:usb2="00000009" w:usb3="00000000" w:csb0="400001FF" w:csb1="FFFF0000"/>
  </w:font>
  <w:font w:name="Calibri">
    <w:altName w:val="Times New Roman"/>
    <w:panose1 w:val="020F0502020204030204"/>
    <w:charset w:val="00"/>
    <w:family w:val="swiss"/>
    <w:pitch w:val="variable"/>
    <w:sig w:usb0="E4002EFF" w:usb1="C200247B" w:usb2="00000009" w:usb3="00000000" w:csb0="200001FF" w:csb1="00000000"/>
  </w:font>
  <w:font w:name="楷体_GB2312">
    <w:altName w:val="楷体"/>
    <w:panose1 w:val="02010609030101010101"/>
    <w:charset w:val="86"/>
    <w:family w:val="modern"/>
    <w:pitch w:val="variable"/>
    <w:sig w:usb0="00000000" w:usb1="00000000" w:usb2="00000000" w:usb3="00000000" w:csb0="00040000" w:csb1="00000000"/>
  </w:font>
  <w:font w:name="仿宋_GB2312">
    <w:panose1 w:val="02010609030101010101"/>
    <w:charset w:val="86"/>
    <w:family w:val="modern"/>
    <w:pitch w:val="variable"/>
    <w:sig w:usb0="00000001" w:usb1="080E0000" w:usb2="00000000" w:usb3="00000000" w:csb0="00040000" w:csb1="00000000"/>
  </w:font>
  <w:font w:name="黑体">
    <w:panose1 w:val="02010609060101010101"/>
    <w:charset w:val="86"/>
    <w:family w:val="auto"/>
    <w:pitch w:val="variable"/>
    <w:sig w:usb0="800002BF" w:usb1="38CF7CFA" w:usb2="00000016" w:usb3="00000000" w:csb0="00040001"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25"/>
      <w:tabs>
        <w:tab w:val="center" w:pos="4153"/>
        <w:tab w:val="right" w:pos="8306"/>
      </w:tabs>
      <w:jc w:val="center"/>
    </w:pPr>
    <w:sdt>
      <w:sdtPr>
        <w:id w:val="-893291498"/>
      </w:sdtPr>
      <w:sdtContent>
        <w:r>
          <w:rPr>
            <w:rFonts w:hint="eastAsia"/>
          </w:rPr>
          <w:t>—</w:t>
        </w:r>
        <w:r>
          <w:rPr>
            <w:sz w:val="28"/>
            <w:szCs w:val="28"/>
          </w:rPr>
          <w:fldChar w:fldCharType="begin"/>
        </w:r>
        <w:r>
          <w:rPr>
            <w:sz w:val="28"/>
            <w:szCs w:val="28"/>
          </w:rPr>
          <w:instrText>PAGE   \* MERGEFORMAT</w:instrText>
        </w:r>
        <w:r>
          <w:rPr>
            <w:sz w:val="28"/>
            <w:szCs w:val="28"/>
          </w:rPr>
          <w:fldChar w:fldCharType="separate"/>
        </w:r>
        <w:r>
          <w:rPr>
            <w:sz w:val="28"/>
            <w:szCs w:val="28"/>
            <w:lang w:val="zh-CN"/>
          </w:rPr>
          <w:t>II</w:t>
        </w:r>
        <w:r>
          <w:rPr>
            <w:sz w:val="28"/>
            <w:szCs w:val="28"/>
          </w:rPr>
          <w:fldChar w:fldCharType="end"/>
        </w:r>
      </w:sdtContent>
    </w:sdt>
    <w:r>
      <w:rPr>
        <w:rFonts w:hint="eastAsia"/>
      </w:rPr>
      <w:t>—</w:t>
    </w:r>
  </w:p>
</w:ftr>
</file>

<file path=word/footer2.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25"/>
      <w:tabs>
        <w:tab w:val="center" w:pos="4153"/>
        <w:tab w:val="right" w:pos="8306"/>
      </w:tabs>
      <w:jc w:val="center"/>
      <w:rPr>
        <w:sz w:val="28"/>
        <w:szCs w:val="28"/>
      </w:rPr>
    </w:pPr>
    <w:r>
      <w:rPr>
        <w:rFonts w:hint="eastAsia"/>
        <w:sz w:val="28"/>
        <w:szCs w:val="28"/>
      </w:rPr>
      <w:t>—</w:t>
    </w:r>
    <w:r>
      <w:rPr>
        <w:rFonts w:hint="eastAsia"/>
        <w:sz w:val="28"/>
        <w:szCs w:val="28"/>
      </w:rPr>
      <w:fldChar w:fldCharType="begin"/>
    </w:r>
    <w:r>
      <w:rPr>
        <w:rFonts w:hint="eastAsia"/>
        <w:sz w:val="28"/>
        <w:szCs w:val="28"/>
      </w:rPr>
      <w:instrText>PAGE   \* MERGEFORMAT</w:instrText>
    </w:r>
    <w:r>
      <w:rPr>
        <w:rFonts w:hint="eastAsia"/>
        <w:sz w:val="28"/>
        <w:szCs w:val="28"/>
      </w:rPr>
      <w:fldChar w:fldCharType="separate"/>
    </w:r>
    <w:r>
      <w:rPr>
        <w:sz w:val="28"/>
        <w:szCs w:val="28"/>
        <w:lang w:val="zh-CN"/>
      </w:rPr>
      <w:t>52</w:t>
    </w:r>
    <w:r>
      <w:rPr>
        <w:rFonts w:hint="eastAsia"/>
        <w:sz w:val="28"/>
        <w:szCs w:val="28"/>
      </w:rPr>
      <w:fldChar w:fldCharType="end"/>
    </w:r>
    <w:r>
      <w:rPr>
        <w:rFonts w:hint="eastAsia"/>
        <w:sz w:val="28"/>
        <w:szCs w:val="28"/>
      </w:rPr>
      <w:t>—</w:t>
    </w:r>
  </w:p>
</w:ftr>
</file>

<file path=word/footer3.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25"/>
      <w:tabs>
        <w:tab w:val="center" w:pos="4153"/>
        <w:tab w:val="right" w:pos="8306"/>
      </w:tabs>
      <w:jc w:val="center"/>
      <w:rPr>
        <w:sz w:val="28"/>
        <w:szCs w:val="28"/>
      </w:rPr>
    </w:pPr>
    <w:r>
      <w:rPr>
        <w:rFonts w:hint="eastAsia"/>
        <w:sz w:val="28"/>
        <w:szCs w:val="28"/>
      </w:rPr>
      <w:t>—</w:t>
    </w:r>
    <w:r>
      <w:rPr>
        <w:rFonts w:hint="eastAsia"/>
        <w:sz w:val="28"/>
        <w:szCs w:val="28"/>
      </w:rPr>
      <w:fldChar w:fldCharType="begin"/>
    </w:r>
    <w:r>
      <w:rPr>
        <w:rFonts w:hint="eastAsia"/>
        <w:sz w:val="28"/>
        <w:szCs w:val="28"/>
      </w:rPr>
      <w:instrText>PAGE   \* MERGEFORMAT</w:instrText>
    </w:r>
    <w:r>
      <w:rPr>
        <w:rFonts w:hint="eastAsia"/>
        <w:sz w:val="28"/>
        <w:szCs w:val="28"/>
      </w:rPr>
      <w:fldChar w:fldCharType="separate"/>
    </w:r>
    <w:r>
      <w:rPr>
        <w:sz w:val="28"/>
        <w:szCs w:val="28"/>
        <w:lang w:val="zh-CN"/>
      </w:rPr>
      <w:t>69</w:t>
    </w:r>
    <w:r>
      <w:rPr>
        <w:rFonts w:hint="eastAsia"/>
        <w:sz w:val="28"/>
        <w:szCs w:val="28"/>
      </w:rPr>
      <w:fldChar w:fldCharType="end"/>
    </w:r>
    <w:r>
      <w:rPr>
        <w:rFonts w:hint="eastAsia"/>
        <w:sz w:val="28"/>
        <w:szCs w:val="28"/>
      </w:rPr>
      <w:t>—</w:t>
    </w:r>
  </w:p>
</w:ftr>
</file>

<file path=word/footer4.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25"/>
      <w:tabs>
        <w:tab w:val="center" w:pos="4153"/>
        <w:tab w:val="right" w:pos="8306"/>
      </w:tabs>
      <w:jc w:val="center"/>
      <w:rPr>
        <w:sz w:val="28"/>
        <w:szCs w:val="28"/>
      </w:rPr>
    </w:pPr>
    <w:r>
      <w:rPr>
        <w:rFonts w:hint="eastAsia"/>
        <w:sz w:val="28"/>
        <w:szCs w:val="28"/>
      </w:rPr>
      <w:t>—</w:t>
    </w:r>
    <w:r>
      <w:rPr>
        <w:rFonts w:hint="eastAsia"/>
        <w:sz w:val="28"/>
        <w:szCs w:val="28"/>
      </w:rPr>
      <w:fldChar w:fldCharType="begin"/>
    </w:r>
    <w:r>
      <w:rPr>
        <w:rFonts w:hint="eastAsia"/>
        <w:sz w:val="28"/>
        <w:szCs w:val="28"/>
      </w:rPr>
      <w:instrText>PAGE   \* MERGEFORMAT</w:instrText>
    </w:r>
    <w:r>
      <w:rPr>
        <w:rFonts w:hint="eastAsia"/>
        <w:sz w:val="28"/>
        <w:szCs w:val="28"/>
      </w:rPr>
      <w:fldChar w:fldCharType="separate"/>
    </w:r>
    <w:r>
      <w:rPr>
        <w:sz w:val="28"/>
        <w:szCs w:val="28"/>
        <w:lang w:val="zh-CN"/>
      </w:rPr>
      <w:t>95</w:t>
    </w:r>
    <w:r>
      <w:rPr>
        <w:rFonts w:hint="eastAsia"/>
        <w:sz w:val="28"/>
        <w:szCs w:val="28"/>
      </w:rPr>
      <w:fldChar w:fldCharType="end"/>
    </w:r>
    <w:r>
      <w:rPr>
        <w:rFonts w:hint="eastAsia"/>
        <w:sz w:val="28"/>
        <w:szCs w:val="28"/>
      </w:rPr>
      <w:t>—</w:t>
    </w:r>
  </w:p>
</w:ftr>
</file>

<file path=word/header1.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26"/>
      <w:pBdr>
        <w:bottom w:val="none" w:sz="0" w:space="0" w:color="auto"/>
      </w:pBdr>
      <w:tabs>
        <w:tab w:val="center" w:pos="4153"/>
        <w:tab w:val="right" w:pos="8306"/>
      </w:tabs>
    </w:pPr>
  </w:p>
</w:hdr>
</file>

<file path=word/header2.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26"/>
      <w:pBdr>
        <w:bottom w:val="none" w:sz="0" w:space="0" w:color="auto"/>
      </w:pBdr>
      <w:tabs>
        <w:tab w:val="center" w:pos="4153"/>
        <w:tab w:val="right" w:pos="8306"/>
      </w:tabs>
    </w:pPr>
  </w:p>
</w:hdr>
</file>

<file path=word/header3.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26"/>
      <w:pBdr>
        <w:bottom w:val="none" w:sz="0" w:space="0" w:color="auto"/>
      </w:pBdr>
      <w:tabs>
        <w:tab w:val="center" w:pos="4153"/>
        <w:tab w:val="right" w:pos="8306"/>
      </w:tabs>
    </w:pPr>
  </w:p>
</w:hdr>
</file>

<file path=word/header4.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26"/>
      <w:pBdr>
        <w:bottom w:val="none" w:sz="0" w:space="0" w:color="auto"/>
      </w:pBdr>
      <w:tabs>
        <w:tab w:val="center" w:pos="4153"/>
        <w:tab w:val="right" w:pos="8306"/>
      </w:tabs>
    </w:pPr>
  </w:p>
</w:hdr>
</file>

<file path=word/header5.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26"/>
      <w:pBdr>
        <w:bottom w:val="none" w:sz="0" w:space="0" w:color="auto"/>
      </w:pBdr>
      <w:tabs>
        <w:tab w:val="center" w:pos="4153"/>
        <w:tab w:val="right" w:pos="8306"/>
      </w:tabs>
    </w:pPr>
  </w:p>
</w:hdr>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xmlns:mc="http://schemas.openxmlformats.org/markup-compatibility/2006" xmlns:w14="http://schemas.microsoft.com/office/word/2010/wordml">
  <w:abstractNum w:abstractNumId="0">
    <w:nsid w:val="61E96F96"/>
    <w:multiLevelType w:val="multilevel"/>
    <w:tmpl w:val="61E96F96"/>
    <w:lvl w:ilvl="0">
      <w:start w:val="1"/>
      <w:numFmt w:val="japaneseCounting"/>
      <w:lvlRestart w:val="0"/>
      <w:lvlText w:val="第%1节"/>
      <w:lvlJc w:val="left"/>
      <w:pPr>
        <w:tabs>
          <w:tab w:val="num" w:pos="0"/>
        </w:tabs>
        <w:ind w:left="1125" w:hanging="1125"/>
      </w:pPr>
      <w:rPr>
        <w:rFonts w:hint="default"/>
      </w:rPr>
    </w:lvl>
    <w:lvl w:ilvl="1">
      <w:start w:val="1"/>
      <w:numFmt w:val="lowerLetter"/>
      <w:lvlText w:val="%2)"/>
      <w:lvlJc w:val="left"/>
      <w:pPr>
        <w:tabs>
          <w:tab w:val="num" w:pos="0"/>
        </w:tabs>
        <w:ind w:left="840" w:hanging="420"/>
      </w:pPr>
    </w:lvl>
    <w:lvl w:ilvl="2">
      <w:start w:val="1"/>
      <w:numFmt w:val="lowerRoman"/>
      <w:lvlText w:val="%3."/>
      <w:lvlJc w:val="right"/>
      <w:pPr>
        <w:tabs>
          <w:tab w:val="num" w:pos="0"/>
        </w:tabs>
        <w:ind w:left="1260" w:hanging="420"/>
      </w:pPr>
    </w:lvl>
    <w:lvl w:ilvl="3">
      <w:start w:val="1"/>
      <w:numFmt w:val="decimal"/>
      <w:lvlText w:val="%4."/>
      <w:lvlJc w:val="left"/>
      <w:pPr>
        <w:tabs>
          <w:tab w:val="num" w:pos="0"/>
        </w:tabs>
        <w:ind w:left="1680" w:hanging="420"/>
      </w:pPr>
    </w:lvl>
    <w:lvl w:ilvl="4">
      <w:start w:val="1"/>
      <w:numFmt w:val="lowerLetter"/>
      <w:lvlText w:val="%5)"/>
      <w:lvlJc w:val="left"/>
      <w:pPr>
        <w:tabs>
          <w:tab w:val="num" w:pos="0"/>
        </w:tabs>
        <w:ind w:left="2100" w:hanging="420"/>
      </w:pPr>
    </w:lvl>
    <w:lvl w:ilvl="5">
      <w:start w:val="1"/>
      <w:numFmt w:val="lowerRoman"/>
      <w:lvlText w:val="%6."/>
      <w:lvlJc w:val="right"/>
      <w:pPr>
        <w:tabs>
          <w:tab w:val="num" w:pos="0"/>
        </w:tabs>
        <w:ind w:left="2520" w:hanging="420"/>
      </w:pPr>
    </w:lvl>
    <w:lvl w:ilvl="6">
      <w:start w:val="1"/>
      <w:numFmt w:val="decimal"/>
      <w:lvlText w:val="%7."/>
      <w:lvlJc w:val="left"/>
      <w:pPr>
        <w:tabs>
          <w:tab w:val="num" w:pos="0"/>
        </w:tabs>
        <w:ind w:left="2940" w:hanging="420"/>
      </w:pPr>
    </w:lvl>
    <w:lvl w:ilvl="7">
      <w:start w:val="1"/>
      <w:numFmt w:val="lowerLetter"/>
      <w:lvlText w:val="%8)"/>
      <w:lvlJc w:val="left"/>
      <w:pPr>
        <w:tabs>
          <w:tab w:val="num" w:pos="0"/>
        </w:tabs>
        <w:ind w:left="3360" w:hanging="420"/>
      </w:pPr>
    </w:lvl>
    <w:lvl w:ilvl="8">
      <w:start w:val="1"/>
      <w:numFmt w:val="lowerRoman"/>
      <w:lvlText w:val="%9."/>
      <w:lvlJc w:val="right"/>
      <w:pPr>
        <w:tabs>
          <w:tab w:val="num" w:pos="0"/>
        </w:tabs>
        <w:ind w:left="3780" w:hanging="420"/>
      </w:pPr>
    </w:lvl>
  </w:abstractNum>
  <w:abstractNum w:abstractNumId="1">
    <w:nsid w:val="7ED80813"/>
    <w:multiLevelType w:val="multilevel"/>
    <w:tmpl w:val="7ED80813"/>
    <w:lvl w:ilvl="0">
      <w:start w:val="1"/>
      <w:numFmt w:val="japaneseCounting"/>
      <w:lvlRestart w:val="0"/>
      <w:lvlText w:val="第%1节"/>
      <w:lvlJc w:val="left"/>
      <w:pPr>
        <w:tabs>
          <w:tab w:val="num" w:pos="0"/>
        </w:tabs>
        <w:ind w:left="1125" w:hanging="1125"/>
      </w:pPr>
      <w:rPr>
        <w:rFonts w:hint="default"/>
      </w:rPr>
    </w:lvl>
    <w:lvl w:ilvl="1">
      <w:start w:val="1"/>
      <w:numFmt w:val="lowerLetter"/>
      <w:lvlText w:val="%2)"/>
      <w:lvlJc w:val="left"/>
      <w:pPr>
        <w:tabs>
          <w:tab w:val="num" w:pos="0"/>
        </w:tabs>
        <w:ind w:left="840" w:hanging="420"/>
      </w:pPr>
    </w:lvl>
    <w:lvl w:ilvl="2">
      <w:start w:val="1"/>
      <w:numFmt w:val="lowerRoman"/>
      <w:lvlText w:val="%3."/>
      <w:lvlJc w:val="right"/>
      <w:pPr>
        <w:tabs>
          <w:tab w:val="num" w:pos="0"/>
        </w:tabs>
        <w:ind w:left="1260" w:hanging="420"/>
      </w:pPr>
    </w:lvl>
    <w:lvl w:ilvl="3">
      <w:start w:val="1"/>
      <w:numFmt w:val="decimal"/>
      <w:lvlText w:val="%4."/>
      <w:lvlJc w:val="left"/>
      <w:pPr>
        <w:tabs>
          <w:tab w:val="num" w:pos="0"/>
        </w:tabs>
        <w:ind w:left="1680" w:hanging="420"/>
      </w:pPr>
    </w:lvl>
    <w:lvl w:ilvl="4">
      <w:start w:val="1"/>
      <w:numFmt w:val="lowerLetter"/>
      <w:lvlText w:val="%5)"/>
      <w:lvlJc w:val="left"/>
      <w:pPr>
        <w:tabs>
          <w:tab w:val="num" w:pos="0"/>
        </w:tabs>
        <w:ind w:left="2100" w:hanging="420"/>
      </w:pPr>
    </w:lvl>
    <w:lvl w:ilvl="5">
      <w:start w:val="1"/>
      <w:numFmt w:val="lowerRoman"/>
      <w:lvlText w:val="%6."/>
      <w:lvlJc w:val="right"/>
      <w:pPr>
        <w:tabs>
          <w:tab w:val="num" w:pos="0"/>
        </w:tabs>
        <w:ind w:left="2520" w:hanging="420"/>
      </w:pPr>
    </w:lvl>
    <w:lvl w:ilvl="6">
      <w:start w:val="1"/>
      <w:numFmt w:val="decimal"/>
      <w:lvlText w:val="%7."/>
      <w:lvlJc w:val="left"/>
      <w:pPr>
        <w:tabs>
          <w:tab w:val="num" w:pos="0"/>
        </w:tabs>
        <w:ind w:left="2940" w:hanging="420"/>
      </w:pPr>
    </w:lvl>
    <w:lvl w:ilvl="7">
      <w:start w:val="1"/>
      <w:numFmt w:val="lowerLetter"/>
      <w:lvlText w:val="%8)"/>
      <w:lvlJc w:val="left"/>
      <w:pPr>
        <w:tabs>
          <w:tab w:val="num" w:pos="0"/>
        </w:tabs>
        <w:ind w:left="3360" w:hanging="420"/>
      </w:pPr>
    </w:lvl>
    <w:lvl w:ilvl="8">
      <w:start w:val="1"/>
      <w:numFmt w:val="lowerRoman"/>
      <w:lvlText w:val="%9."/>
      <w:lvlJc w:val="right"/>
      <w:pPr>
        <w:tabs>
          <w:tab w:val="num" w:pos="0"/>
        </w:tabs>
        <w:ind w:left="3780" w:hanging="420"/>
      </w:pPr>
    </w:lvl>
  </w:abstractNum>
  <w:abstractNum w:abstractNumId="2">
    <w:nsid w:val="75D9499C"/>
    <w:multiLevelType w:val="multilevel"/>
    <w:tmpl w:val="75D9499C"/>
    <w:lvl w:ilvl="0">
      <w:start w:val="1"/>
      <w:numFmt w:val="japaneseCounting"/>
      <w:lvlRestart w:val="0"/>
      <w:lvlText w:val="第%1节"/>
      <w:lvlJc w:val="left"/>
      <w:pPr>
        <w:tabs>
          <w:tab w:val="num" w:pos="0"/>
        </w:tabs>
        <w:ind w:left="1125" w:hanging="1125"/>
      </w:pPr>
      <w:rPr>
        <w:rFonts w:hint="default"/>
      </w:rPr>
    </w:lvl>
    <w:lvl w:ilvl="1">
      <w:start w:val="1"/>
      <w:numFmt w:val="lowerLetter"/>
      <w:lvlText w:val="%2)"/>
      <w:lvlJc w:val="left"/>
      <w:pPr>
        <w:tabs>
          <w:tab w:val="num" w:pos="0"/>
        </w:tabs>
        <w:ind w:left="840" w:hanging="420"/>
      </w:pPr>
    </w:lvl>
    <w:lvl w:ilvl="2">
      <w:start w:val="1"/>
      <w:numFmt w:val="lowerRoman"/>
      <w:lvlText w:val="%3."/>
      <w:lvlJc w:val="right"/>
      <w:pPr>
        <w:tabs>
          <w:tab w:val="num" w:pos="0"/>
        </w:tabs>
        <w:ind w:left="1260" w:hanging="420"/>
      </w:pPr>
    </w:lvl>
    <w:lvl w:ilvl="3">
      <w:start w:val="1"/>
      <w:numFmt w:val="decimal"/>
      <w:lvlText w:val="%4."/>
      <w:lvlJc w:val="left"/>
      <w:pPr>
        <w:tabs>
          <w:tab w:val="num" w:pos="0"/>
        </w:tabs>
        <w:ind w:left="1680" w:hanging="420"/>
      </w:pPr>
    </w:lvl>
    <w:lvl w:ilvl="4">
      <w:start w:val="1"/>
      <w:numFmt w:val="lowerLetter"/>
      <w:lvlText w:val="%5)"/>
      <w:lvlJc w:val="left"/>
      <w:pPr>
        <w:tabs>
          <w:tab w:val="num" w:pos="0"/>
        </w:tabs>
        <w:ind w:left="2100" w:hanging="420"/>
      </w:pPr>
    </w:lvl>
    <w:lvl w:ilvl="5">
      <w:start w:val="1"/>
      <w:numFmt w:val="lowerRoman"/>
      <w:lvlText w:val="%6."/>
      <w:lvlJc w:val="right"/>
      <w:pPr>
        <w:tabs>
          <w:tab w:val="num" w:pos="0"/>
        </w:tabs>
        <w:ind w:left="2520" w:hanging="420"/>
      </w:pPr>
    </w:lvl>
    <w:lvl w:ilvl="6">
      <w:start w:val="1"/>
      <w:numFmt w:val="decimal"/>
      <w:lvlText w:val="%7."/>
      <w:lvlJc w:val="left"/>
      <w:pPr>
        <w:tabs>
          <w:tab w:val="num" w:pos="0"/>
        </w:tabs>
        <w:ind w:left="2940" w:hanging="420"/>
      </w:pPr>
    </w:lvl>
    <w:lvl w:ilvl="7">
      <w:start w:val="1"/>
      <w:numFmt w:val="lowerLetter"/>
      <w:lvlText w:val="%8)"/>
      <w:lvlJc w:val="left"/>
      <w:pPr>
        <w:tabs>
          <w:tab w:val="num" w:pos="0"/>
        </w:tabs>
        <w:ind w:left="3360" w:hanging="420"/>
      </w:pPr>
    </w:lvl>
    <w:lvl w:ilvl="8">
      <w:start w:val="1"/>
      <w:numFmt w:val="lowerRoman"/>
      <w:lvlText w:val="%9."/>
      <w:lvlJc w:val="right"/>
      <w:pPr>
        <w:tabs>
          <w:tab w:val="num" w:pos="0"/>
        </w:tabs>
        <w:ind w:left="3780" w:hanging="420"/>
      </w:pPr>
    </w:lvl>
  </w:abstractNum>
  <w:abstractNum w:abstractNumId="3">
    <w:nsid w:val="48BC0973"/>
    <w:multiLevelType w:val="multilevel"/>
    <w:tmpl w:val="48BC0973"/>
    <w:lvl w:ilvl="0">
      <w:start w:val="1"/>
      <w:numFmt w:val="japaneseCounting"/>
      <w:lvlRestart w:val="0"/>
      <w:lvlText w:val="第%1节"/>
      <w:lvlJc w:val="left"/>
      <w:pPr>
        <w:tabs>
          <w:tab w:val="num" w:pos="0"/>
        </w:tabs>
        <w:ind w:left="1125" w:hanging="1125"/>
      </w:pPr>
      <w:rPr>
        <w:rFonts w:hint="default"/>
      </w:rPr>
    </w:lvl>
    <w:lvl w:ilvl="1">
      <w:start w:val="1"/>
      <w:numFmt w:val="lowerLetter"/>
      <w:lvlText w:val="%2)"/>
      <w:lvlJc w:val="left"/>
      <w:pPr>
        <w:tabs>
          <w:tab w:val="num" w:pos="0"/>
        </w:tabs>
        <w:ind w:left="840" w:hanging="420"/>
      </w:pPr>
    </w:lvl>
    <w:lvl w:ilvl="2">
      <w:start w:val="1"/>
      <w:numFmt w:val="lowerRoman"/>
      <w:lvlText w:val="%3."/>
      <w:lvlJc w:val="right"/>
      <w:pPr>
        <w:tabs>
          <w:tab w:val="num" w:pos="0"/>
        </w:tabs>
        <w:ind w:left="1260" w:hanging="420"/>
      </w:pPr>
    </w:lvl>
    <w:lvl w:ilvl="3">
      <w:start w:val="1"/>
      <w:numFmt w:val="decimal"/>
      <w:lvlText w:val="%4."/>
      <w:lvlJc w:val="left"/>
      <w:pPr>
        <w:tabs>
          <w:tab w:val="num" w:pos="0"/>
        </w:tabs>
        <w:ind w:left="1680" w:hanging="420"/>
      </w:pPr>
    </w:lvl>
    <w:lvl w:ilvl="4">
      <w:start w:val="1"/>
      <w:numFmt w:val="lowerLetter"/>
      <w:lvlText w:val="%5)"/>
      <w:lvlJc w:val="left"/>
      <w:pPr>
        <w:tabs>
          <w:tab w:val="num" w:pos="0"/>
        </w:tabs>
        <w:ind w:left="2100" w:hanging="420"/>
      </w:pPr>
    </w:lvl>
    <w:lvl w:ilvl="5">
      <w:start w:val="1"/>
      <w:numFmt w:val="lowerRoman"/>
      <w:lvlText w:val="%6."/>
      <w:lvlJc w:val="right"/>
      <w:pPr>
        <w:tabs>
          <w:tab w:val="num" w:pos="0"/>
        </w:tabs>
        <w:ind w:left="2520" w:hanging="420"/>
      </w:pPr>
    </w:lvl>
    <w:lvl w:ilvl="6">
      <w:start w:val="1"/>
      <w:numFmt w:val="decimal"/>
      <w:lvlText w:val="%7."/>
      <w:lvlJc w:val="left"/>
      <w:pPr>
        <w:tabs>
          <w:tab w:val="num" w:pos="0"/>
        </w:tabs>
        <w:ind w:left="2940" w:hanging="420"/>
      </w:pPr>
    </w:lvl>
    <w:lvl w:ilvl="7">
      <w:start w:val="1"/>
      <w:numFmt w:val="lowerLetter"/>
      <w:lvlText w:val="%8)"/>
      <w:lvlJc w:val="left"/>
      <w:pPr>
        <w:tabs>
          <w:tab w:val="num" w:pos="0"/>
        </w:tabs>
        <w:ind w:left="3360" w:hanging="420"/>
      </w:pPr>
    </w:lvl>
    <w:lvl w:ilvl="8">
      <w:start w:val="1"/>
      <w:numFmt w:val="lowerRoman"/>
      <w:lvlText w:val="%9."/>
      <w:lvlJc w:val="right"/>
      <w:pPr>
        <w:tabs>
          <w:tab w:val="num" w:pos="0"/>
        </w:tabs>
        <w:ind w:left="3780" w:hanging="420"/>
      </w:pPr>
    </w:lvl>
  </w:abstractNum>
  <w:abstractNum w:abstractNumId="4">
    <w:nsid w:val="56205AD8"/>
    <w:multiLevelType w:val="multilevel"/>
    <w:tmpl w:val="56205AD8"/>
    <w:lvl w:ilvl="0">
      <w:start w:val="1"/>
      <w:numFmt w:val="japaneseCounting"/>
      <w:lvlRestart w:val="0"/>
      <w:lvlText w:val="第%1节"/>
      <w:lvlJc w:val="left"/>
      <w:pPr>
        <w:tabs>
          <w:tab w:val="num" w:pos="0"/>
        </w:tabs>
        <w:ind w:left="1125" w:hanging="1125"/>
      </w:pPr>
      <w:rPr>
        <w:rFonts w:hint="default"/>
      </w:rPr>
    </w:lvl>
    <w:lvl w:ilvl="1">
      <w:start w:val="1"/>
      <w:numFmt w:val="lowerLetter"/>
      <w:lvlText w:val="%2)"/>
      <w:lvlJc w:val="left"/>
      <w:pPr>
        <w:tabs>
          <w:tab w:val="num" w:pos="0"/>
        </w:tabs>
        <w:ind w:left="840" w:hanging="420"/>
      </w:pPr>
    </w:lvl>
    <w:lvl w:ilvl="2">
      <w:start w:val="1"/>
      <w:numFmt w:val="lowerRoman"/>
      <w:lvlText w:val="%3."/>
      <w:lvlJc w:val="right"/>
      <w:pPr>
        <w:tabs>
          <w:tab w:val="num" w:pos="0"/>
        </w:tabs>
        <w:ind w:left="1260" w:hanging="420"/>
      </w:pPr>
    </w:lvl>
    <w:lvl w:ilvl="3">
      <w:start w:val="1"/>
      <w:numFmt w:val="decimal"/>
      <w:lvlText w:val="%4."/>
      <w:lvlJc w:val="left"/>
      <w:pPr>
        <w:tabs>
          <w:tab w:val="num" w:pos="0"/>
        </w:tabs>
        <w:ind w:left="1680" w:hanging="420"/>
      </w:pPr>
    </w:lvl>
    <w:lvl w:ilvl="4">
      <w:start w:val="1"/>
      <w:numFmt w:val="lowerLetter"/>
      <w:lvlText w:val="%5)"/>
      <w:lvlJc w:val="left"/>
      <w:pPr>
        <w:tabs>
          <w:tab w:val="num" w:pos="0"/>
        </w:tabs>
        <w:ind w:left="2100" w:hanging="420"/>
      </w:pPr>
    </w:lvl>
    <w:lvl w:ilvl="5">
      <w:start w:val="1"/>
      <w:numFmt w:val="lowerRoman"/>
      <w:lvlText w:val="%6."/>
      <w:lvlJc w:val="right"/>
      <w:pPr>
        <w:tabs>
          <w:tab w:val="num" w:pos="0"/>
        </w:tabs>
        <w:ind w:left="2520" w:hanging="420"/>
      </w:pPr>
    </w:lvl>
    <w:lvl w:ilvl="6">
      <w:start w:val="1"/>
      <w:numFmt w:val="decimal"/>
      <w:lvlText w:val="%7."/>
      <w:lvlJc w:val="left"/>
      <w:pPr>
        <w:tabs>
          <w:tab w:val="num" w:pos="0"/>
        </w:tabs>
        <w:ind w:left="2940" w:hanging="420"/>
      </w:pPr>
    </w:lvl>
    <w:lvl w:ilvl="7">
      <w:start w:val="1"/>
      <w:numFmt w:val="lowerLetter"/>
      <w:lvlText w:val="%8)"/>
      <w:lvlJc w:val="left"/>
      <w:pPr>
        <w:tabs>
          <w:tab w:val="num" w:pos="0"/>
        </w:tabs>
        <w:ind w:left="3360" w:hanging="420"/>
      </w:pPr>
    </w:lvl>
    <w:lvl w:ilvl="8">
      <w:start w:val="1"/>
      <w:numFmt w:val="lowerRoman"/>
      <w:lvlText w:val="%9."/>
      <w:lvlJc w:val="right"/>
      <w:pPr>
        <w:tabs>
          <w:tab w:val="num" w:pos="0"/>
        </w:tabs>
        <w:ind w:left="3780" w:hanging="420"/>
      </w:pPr>
    </w:lvl>
  </w:abstractNum>
  <w:abstractNum w:abstractNumId="5">
    <w:nsid w:val="6EF20F44"/>
    <w:multiLevelType w:val="multilevel"/>
    <w:tmpl w:val="6EF20F44"/>
    <w:lvl w:ilvl="0">
      <w:start w:val="1"/>
      <w:numFmt w:val="japaneseCounting"/>
      <w:lvlRestart w:val="0"/>
      <w:lvlText w:val="第%1节"/>
      <w:lvlJc w:val="left"/>
      <w:pPr>
        <w:tabs>
          <w:tab w:val="num" w:pos="0"/>
        </w:tabs>
        <w:ind w:left="1125" w:hanging="1125"/>
      </w:pPr>
      <w:rPr>
        <w:rFonts w:hint="default"/>
      </w:rPr>
    </w:lvl>
    <w:lvl w:ilvl="1">
      <w:start w:val="1"/>
      <w:numFmt w:val="lowerLetter"/>
      <w:lvlText w:val="%2)"/>
      <w:lvlJc w:val="left"/>
      <w:pPr>
        <w:tabs>
          <w:tab w:val="num" w:pos="0"/>
        </w:tabs>
        <w:ind w:left="840" w:hanging="420"/>
      </w:pPr>
    </w:lvl>
    <w:lvl w:ilvl="2">
      <w:start w:val="1"/>
      <w:numFmt w:val="lowerRoman"/>
      <w:lvlText w:val="%3."/>
      <w:lvlJc w:val="right"/>
      <w:pPr>
        <w:tabs>
          <w:tab w:val="num" w:pos="0"/>
        </w:tabs>
        <w:ind w:left="1260" w:hanging="420"/>
      </w:pPr>
    </w:lvl>
    <w:lvl w:ilvl="3">
      <w:start w:val="1"/>
      <w:numFmt w:val="decimal"/>
      <w:lvlText w:val="%4."/>
      <w:lvlJc w:val="left"/>
      <w:pPr>
        <w:tabs>
          <w:tab w:val="num" w:pos="0"/>
        </w:tabs>
        <w:ind w:left="1680" w:hanging="420"/>
      </w:pPr>
    </w:lvl>
    <w:lvl w:ilvl="4">
      <w:start w:val="1"/>
      <w:numFmt w:val="lowerLetter"/>
      <w:lvlText w:val="%5)"/>
      <w:lvlJc w:val="left"/>
      <w:pPr>
        <w:tabs>
          <w:tab w:val="num" w:pos="0"/>
        </w:tabs>
        <w:ind w:left="2100" w:hanging="420"/>
      </w:pPr>
    </w:lvl>
    <w:lvl w:ilvl="5">
      <w:start w:val="1"/>
      <w:numFmt w:val="lowerRoman"/>
      <w:lvlText w:val="%6."/>
      <w:lvlJc w:val="right"/>
      <w:pPr>
        <w:tabs>
          <w:tab w:val="num" w:pos="0"/>
        </w:tabs>
        <w:ind w:left="2520" w:hanging="420"/>
      </w:pPr>
    </w:lvl>
    <w:lvl w:ilvl="6">
      <w:start w:val="1"/>
      <w:numFmt w:val="decimal"/>
      <w:lvlText w:val="%7."/>
      <w:lvlJc w:val="left"/>
      <w:pPr>
        <w:tabs>
          <w:tab w:val="num" w:pos="0"/>
        </w:tabs>
        <w:ind w:left="2940" w:hanging="420"/>
      </w:pPr>
    </w:lvl>
    <w:lvl w:ilvl="7">
      <w:start w:val="1"/>
      <w:numFmt w:val="lowerLetter"/>
      <w:lvlText w:val="%8)"/>
      <w:lvlJc w:val="left"/>
      <w:pPr>
        <w:tabs>
          <w:tab w:val="num" w:pos="0"/>
        </w:tabs>
        <w:ind w:left="3360" w:hanging="420"/>
      </w:pPr>
    </w:lvl>
    <w:lvl w:ilvl="8">
      <w:start w:val="1"/>
      <w:numFmt w:val="lowerRoman"/>
      <w:lvlText w:val="%9."/>
      <w:lvlJc w:val="right"/>
      <w:pPr>
        <w:tabs>
          <w:tab w:val="num" w:pos="0"/>
        </w:tabs>
        <w:ind w:left="3780" w:hanging="420"/>
      </w:pPr>
    </w:lvl>
  </w:abstractNum>
  <w:abstractNum w:abstractNumId="6">
    <w:nsid w:val="26D44155"/>
    <w:multiLevelType w:val="multilevel"/>
    <w:tmpl w:val="26D44155"/>
    <w:lvl w:ilvl="0">
      <w:start w:val="1"/>
      <w:numFmt w:val="japaneseCounting"/>
      <w:lvlRestart w:val="0"/>
      <w:lvlText w:val="第%1节"/>
      <w:lvlJc w:val="left"/>
      <w:pPr>
        <w:tabs>
          <w:tab w:val="num" w:pos="0"/>
        </w:tabs>
        <w:ind w:left="1125" w:hanging="1125"/>
      </w:pPr>
      <w:rPr>
        <w:rFonts w:hint="default"/>
      </w:rPr>
    </w:lvl>
    <w:lvl w:ilvl="1">
      <w:start w:val="1"/>
      <w:numFmt w:val="lowerLetter"/>
      <w:lvlText w:val="%2)"/>
      <w:lvlJc w:val="left"/>
      <w:pPr>
        <w:tabs>
          <w:tab w:val="num" w:pos="0"/>
        </w:tabs>
        <w:ind w:left="840" w:hanging="420"/>
      </w:pPr>
    </w:lvl>
    <w:lvl w:ilvl="2">
      <w:start w:val="1"/>
      <w:numFmt w:val="lowerRoman"/>
      <w:lvlText w:val="%3."/>
      <w:lvlJc w:val="right"/>
      <w:pPr>
        <w:tabs>
          <w:tab w:val="num" w:pos="0"/>
        </w:tabs>
        <w:ind w:left="1260" w:hanging="420"/>
      </w:pPr>
    </w:lvl>
    <w:lvl w:ilvl="3">
      <w:start w:val="1"/>
      <w:numFmt w:val="decimal"/>
      <w:lvlText w:val="%4."/>
      <w:lvlJc w:val="left"/>
      <w:pPr>
        <w:tabs>
          <w:tab w:val="num" w:pos="0"/>
        </w:tabs>
        <w:ind w:left="1680" w:hanging="420"/>
      </w:pPr>
    </w:lvl>
    <w:lvl w:ilvl="4">
      <w:start w:val="1"/>
      <w:numFmt w:val="lowerLetter"/>
      <w:lvlText w:val="%5)"/>
      <w:lvlJc w:val="left"/>
      <w:pPr>
        <w:tabs>
          <w:tab w:val="num" w:pos="0"/>
        </w:tabs>
        <w:ind w:left="2100" w:hanging="420"/>
      </w:pPr>
    </w:lvl>
    <w:lvl w:ilvl="5">
      <w:start w:val="1"/>
      <w:numFmt w:val="lowerRoman"/>
      <w:lvlText w:val="%6."/>
      <w:lvlJc w:val="right"/>
      <w:pPr>
        <w:tabs>
          <w:tab w:val="num" w:pos="0"/>
        </w:tabs>
        <w:ind w:left="2520" w:hanging="420"/>
      </w:pPr>
    </w:lvl>
    <w:lvl w:ilvl="6">
      <w:start w:val="1"/>
      <w:numFmt w:val="decimal"/>
      <w:lvlText w:val="%7."/>
      <w:lvlJc w:val="left"/>
      <w:pPr>
        <w:tabs>
          <w:tab w:val="num" w:pos="0"/>
        </w:tabs>
        <w:ind w:left="2940" w:hanging="420"/>
      </w:pPr>
    </w:lvl>
    <w:lvl w:ilvl="7">
      <w:start w:val="1"/>
      <w:numFmt w:val="lowerLetter"/>
      <w:lvlText w:val="%8)"/>
      <w:lvlJc w:val="left"/>
      <w:pPr>
        <w:tabs>
          <w:tab w:val="num" w:pos="0"/>
        </w:tabs>
        <w:ind w:left="3360" w:hanging="420"/>
      </w:pPr>
    </w:lvl>
    <w:lvl w:ilvl="8">
      <w:start w:val="1"/>
      <w:numFmt w:val="lowerRoman"/>
      <w:lvlText w:val="%9."/>
      <w:lvlJc w:val="right"/>
      <w:pPr>
        <w:tabs>
          <w:tab w:val="num" w:pos="0"/>
        </w:tabs>
        <w:ind w:left="3780" w:hanging="420"/>
      </w:pPr>
    </w:lvl>
  </w:abstractNum>
  <w:abstractNum w:abstractNumId="7">
    <w:nsid w:val="46FE47F6"/>
    <w:multiLevelType w:val="multilevel"/>
    <w:tmpl w:val="46FE47F6"/>
    <w:lvl w:ilvl="0">
      <w:start w:val="1"/>
      <w:numFmt w:val="japaneseCounting"/>
      <w:lvlRestart w:val="0"/>
      <w:lvlText w:val="第%1节"/>
      <w:lvlJc w:val="left"/>
      <w:pPr>
        <w:tabs>
          <w:tab w:val="num" w:pos="0"/>
        </w:tabs>
        <w:ind w:left="1125" w:hanging="1125"/>
      </w:pPr>
      <w:rPr>
        <w:rFonts w:hint="default"/>
      </w:rPr>
    </w:lvl>
    <w:lvl w:ilvl="1">
      <w:start w:val="1"/>
      <w:numFmt w:val="lowerLetter"/>
      <w:lvlText w:val="%2)"/>
      <w:lvlJc w:val="left"/>
      <w:pPr>
        <w:tabs>
          <w:tab w:val="num" w:pos="0"/>
        </w:tabs>
        <w:ind w:left="840" w:hanging="420"/>
      </w:pPr>
    </w:lvl>
    <w:lvl w:ilvl="2">
      <w:start w:val="1"/>
      <w:numFmt w:val="lowerRoman"/>
      <w:lvlText w:val="%3."/>
      <w:lvlJc w:val="right"/>
      <w:pPr>
        <w:tabs>
          <w:tab w:val="num" w:pos="0"/>
        </w:tabs>
        <w:ind w:left="1260" w:hanging="420"/>
      </w:pPr>
    </w:lvl>
    <w:lvl w:ilvl="3">
      <w:start w:val="1"/>
      <w:numFmt w:val="decimal"/>
      <w:lvlText w:val="%4."/>
      <w:lvlJc w:val="left"/>
      <w:pPr>
        <w:tabs>
          <w:tab w:val="num" w:pos="0"/>
        </w:tabs>
        <w:ind w:left="1680" w:hanging="420"/>
      </w:pPr>
    </w:lvl>
    <w:lvl w:ilvl="4">
      <w:start w:val="1"/>
      <w:numFmt w:val="lowerLetter"/>
      <w:lvlText w:val="%5)"/>
      <w:lvlJc w:val="left"/>
      <w:pPr>
        <w:tabs>
          <w:tab w:val="num" w:pos="0"/>
        </w:tabs>
        <w:ind w:left="2100" w:hanging="420"/>
      </w:pPr>
    </w:lvl>
    <w:lvl w:ilvl="5">
      <w:start w:val="1"/>
      <w:numFmt w:val="lowerRoman"/>
      <w:lvlText w:val="%6."/>
      <w:lvlJc w:val="right"/>
      <w:pPr>
        <w:tabs>
          <w:tab w:val="num" w:pos="0"/>
        </w:tabs>
        <w:ind w:left="2520" w:hanging="420"/>
      </w:pPr>
    </w:lvl>
    <w:lvl w:ilvl="6">
      <w:start w:val="1"/>
      <w:numFmt w:val="decimal"/>
      <w:lvlText w:val="%7."/>
      <w:lvlJc w:val="left"/>
      <w:pPr>
        <w:tabs>
          <w:tab w:val="num" w:pos="0"/>
        </w:tabs>
        <w:ind w:left="2940" w:hanging="420"/>
      </w:pPr>
    </w:lvl>
    <w:lvl w:ilvl="7">
      <w:start w:val="1"/>
      <w:numFmt w:val="lowerLetter"/>
      <w:lvlText w:val="%8)"/>
      <w:lvlJc w:val="left"/>
      <w:pPr>
        <w:tabs>
          <w:tab w:val="num" w:pos="0"/>
        </w:tabs>
        <w:ind w:left="3360" w:hanging="420"/>
      </w:pPr>
    </w:lvl>
    <w:lvl w:ilvl="8">
      <w:start w:val="1"/>
      <w:numFmt w:val="lowerRoman"/>
      <w:lvlText w:val="%9."/>
      <w:lvlJc w:val="right"/>
      <w:pPr>
        <w:tabs>
          <w:tab w:val="num" w:pos="0"/>
        </w:tabs>
        <w:ind w:left="3780" w:hanging="420"/>
      </w:pPr>
    </w:lvl>
  </w:abstractNum>
  <w:abstractNum w:abstractNumId="8">
    <w:nsid w:val="52F7192E"/>
    <w:multiLevelType w:val="multilevel"/>
    <w:tmpl w:val="52F7192E"/>
    <w:lvl w:ilvl="0">
      <w:start w:val="1"/>
      <w:numFmt w:val="japaneseCounting"/>
      <w:lvlRestart w:val="0"/>
      <w:lvlText w:val="第%1节"/>
      <w:lvlJc w:val="left"/>
      <w:pPr>
        <w:tabs>
          <w:tab w:val="num" w:pos="0"/>
        </w:tabs>
        <w:ind w:left="1125" w:hanging="1125"/>
      </w:pPr>
      <w:rPr>
        <w:rFonts w:hint="default"/>
      </w:rPr>
    </w:lvl>
    <w:lvl w:ilvl="1">
      <w:start w:val="1"/>
      <w:numFmt w:val="lowerLetter"/>
      <w:lvlText w:val="%2)"/>
      <w:lvlJc w:val="left"/>
      <w:pPr>
        <w:tabs>
          <w:tab w:val="num" w:pos="0"/>
        </w:tabs>
        <w:ind w:left="840" w:hanging="420"/>
      </w:pPr>
    </w:lvl>
    <w:lvl w:ilvl="2">
      <w:start w:val="1"/>
      <w:numFmt w:val="lowerRoman"/>
      <w:lvlText w:val="%3."/>
      <w:lvlJc w:val="right"/>
      <w:pPr>
        <w:tabs>
          <w:tab w:val="num" w:pos="0"/>
        </w:tabs>
        <w:ind w:left="1260" w:hanging="420"/>
      </w:pPr>
    </w:lvl>
    <w:lvl w:ilvl="3">
      <w:start w:val="1"/>
      <w:numFmt w:val="decimal"/>
      <w:lvlText w:val="%4."/>
      <w:lvlJc w:val="left"/>
      <w:pPr>
        <w:tabs>
          <w:tab w:val="num" w:pos="0"/>
        </w:tabs>
        <w:ind w:left="1680" w:hanging="420"/>
      </w:pPr>
    </w:lvl>
    <w:lvl w:ilvl="4">
      <w:start w:val="1"/>
      <w:numFmt w:val="lowerLetter"/>
      <w:lvlText w:val="%5)"/>
      <w:lvlJc w:val="left"/>
      <w:pPr>
        <w:tabs>
          <w:tab w:val="num" w:pos="0"/>
        </w:tabs>
        <w:ind w:left="2100" w:hanging="420"/>
      </w:pPr>
    </w:lvl>
    <w:lvl w:ilvl="5">
      <w:start w:val="1"/>
      <w:numFmt w:val="lowerRoman"/>
      <w:lvlText w:val="%6."/>
      <w:lvlJc w:val="right"/>
      <w:pPr>
        <w:tabs>
          <w:tab w:val="num" w:pos="0"/>
        </w:tabs>
        <w:ind w:left="2520" w:hanging="420"/>
      </w:pPr>
    </w:lvl>
    <w:lvl w:ilvl="6">
      <w:start w:val="1"/>
      <w:numFmt w:val="decimal"/>
      <w:lvlText w:val="%7."/>
      <w:lvlJc w:val="left"/>
      <w:pPr>
        <w:tabs>
          <w:tab w:val="num" w:pos="0"/>
        </w:tabs>
        <w:ind w:left="2940" w:hanging="420"/>
      </w:pPr>
    </w:lvl>
    <w:lvl w:ilvl="7">
      <w:start w:val="1"/>
      <w:numFmt w:val="lowerLetter"/>
      <w:lvlText w:val="%8)"/>
      <w:lvlJc w:val="left"/>
      <w:pPr>
        <w:tabs>
          <w:tab w:val="num" w:pos="0"/>
        </w:tabs>
        <w:ind w:left="3360" w:hanging="420"/>
      </w:pPr>
    </w:lvl>
    <w:lvl w:ilvl="8">
      <w:start w:val="1"/>
      <w:numFmt w:val="lowerRoman"/>
      <w:lvlText w:val="%9."/>
      <w:lvlJc w:val="right"/>
      <w:pPr>
        <w:tabs>
          <w:tab w:val="num" w:pos="0"/>
        </w:tabs>
        <w:ind w:left="3780" w:hanging="420"/>
      </w:pPr>
    </w:lvl>
  </w:abstractNum>
  <w:abstractNum w:abstractNumId="9">
    <w:nsid w:val="5A7D33C7"/>
    <w:multiLevelType w:val="multilevel"/>
    <w:tmpl w:val="5A7D33C7"/>
    <w:lvl w:ilvl="0">
      <w:start w:val="1"/>
      <w:numFmt w:val="japaneseCounting"/>
      <w:lvlRestart w:val="0"/>
      <w:lvlText w:val="第%1节"/>
      <w:lvlJc w:val="left"/>
      <w:pPr>
        <w:tabs>
          <w:tab w:val="num" w:pos="0"/>
        </w:tabs>
        <w:ind w:left="1125" w:hanging="1125"/>
      </w:pPr>
      <w:rPr>
        <w:rFonts w:hint="default"/>
      </w:rPr>
    </w:lvl>
    <w:lvl w:ilvl="1">
      <w:start w:val="1"/>
      <w:numFmt w:val="lowerLetter"/>
      <w:lvlText w:val="%2)"/>
      <w:lvlJc w:val="left"/>
      <w:pPr>
        <w:tabs>
          <w:tab w:val="num" w:pos="0"/>
        </w:tabs>
        <w:ind w:left="840" w:hanging="420"/>
      </w:pPr>
    </w:lvl>
    <w:lvl w:ilvl="2">
      <w:start w:val="1"/>
      <w:numFmt w:val="lowerRoman"/>
      <w:lvlText w:val="%3."/>
      <w:lvlJc w:val="right"/>
      <w:pPr>
        <w:tabs>
          <w:tab w:val="num" w:pos="0"/>
        </w:tabs>
        <w:ind w:left="1260" w:hanging="420"/>
      </w:pPr>
    </w:lvl>
    <w:lvl w:ilvl="3">
      <w:start w:val="1"/>
      <w:numFmt w:val="decimal"/>
      <w:lvlText w:val="%4."/>
      <w:lvlJc w:val="left"/>
      <w:pPr>
        <w:tabs>
          <w:tab w:val="num" w:pos="0"/>
        </w:tabs>
        <w:ind w:left="1680" w:hanging="420"/>
      </w:pPr>
    </w:lvl>
    <w:lvl w:ilvl="4">
      <w:start w:val="1"/>
      <w:numFmt w:val="lowerLetter"/>
      <w:lvlText w:val="%5)"/>
      <w:lvlJc w:val="left"/>
      <w:pPr>
        <w:tabs>
          <w:tab w:val="num" w:pos="0"/>
        </w:tabs>
        <w:ind w:left="2100" w:hanging="420"/>
      </w:pPr>
    </w:lvl>
    <w:lvl w:ilvl="5">
      <w:start w:val="1"/>
      <w:numFmt w:val="lowerRoman"/>
      <w:lvlText w:val="%6."/>
      <w:lvlJc w:val="right"/>
      <w:pPr>
        <w:tabs>
          <w:tab w:val="num" w:pos="0"/>
        </w:tabs>
        <w:ind w:left="2520" w:hanging="420"/>
      </w:pPr>
    </w:lvl>
    <w:lvl w:ilvl="6">
      <w:start w:val="1"/>
      <w:numFmt w:val="decimal"/>
      <w:lvlText w:val="%7."/>
      <w:lvlJc w:val="left"/>
      <w:pPr>
        <w:tabs>
          <w:tab w:val="num" w:pos="0"/>
        </w:tabs>
        <w:ind w:left="2940" w:hanging="420"/>
      </w:pPr>
    </w:lvl>
    <w:lvl w:ilvl="7">
      <w:start w:val="1"/>
      <w:numFmt w:val="lowerLetter"/>
      <w:lvlText w:val="%8)"/>
      <w:lvlJc w:val="left"/>
      <w:pPr>
        <w:tabs>
          <w:tab w:val="num" w:pos="0"/>
        </w:tabs>
        <w:ind w:left="3360" w:hanging="420"/>
      </w:pPr>
    </w:lvl>
    <w:lvl w:ilvl="8">
      <w:start w:val="1"/>
      <w:numFmt w:val="lowerRoman"/>
      <w:lvlText w:val="%9."/>
      <w:lvlJc w:val="right"/>
      <w:pPr>
        <w:tabs>
          <w:tab w:val="num" w:pos="0"/>
        </w:tabs>
        <w:ind w:left="3780" w:hanging="420"/>
      </w:pPr>
    </w:lvl>
  </w:abstractNum>
  <w:abstractNum w:abstractNumId="10">
    <w:nsid w:val="75382BCD"/>
    <w:multiLevelType w:val="multilevel"/>
    <w:tmpl w:val="75382BCD"/>
    <w:lvl w:ilvl="0">
      <w:start w:val="1"/>
      <w:numFmt w:val="decimal"/>
      <w:lvlRestart w:val="0"/>
      <w:lvlText w:val="%1"/>
      <w:lvlJc w:val="left"/>
      <w:pPr>
        <w:tabs>
          <w:tab w:val="num" w:pos="0"/>
        </w:tabs>
        <w:ind w:left="420" w:hanging="420"/>
      </w:pPr>
      <w:rPr>
        <w:rFonts w:hint="eastAsia"/>
      </w:rPr>
    </w:lvl>
    <w:lvl w:ilvl="1">
      <w:start w:val="1"/>
      <w:numFmt w:val="lowerLetter"/>
      <w:lvlText w:val="%2)"/>
      <w:lvlJc w:val="left"/>
      <w:pPr>
        <w:tabs>
          <w:tab w:val="num" w:pos="0"/>
        </w:tabs>
        <w:ind w:left="840" w:hanging="420"/>
      </w:pPr>
    </w:lvl>
    <w:lvl w:ilvl="2">
      <w:start w:val="1"/>
      <w:numFmt w:val="lowerRoman"/>
      <w:lvlText w:val="%3."/>
      <w:lvlJc w:val="right"/>
      <w:pPr>
        <w:tabs>
          <w:tab w:val="num" w:pos="0"/>
        </w:tabs>
        <w:ind w:left="1260" w:hanging="420"/>
      </w:pPr>
    </w:lvl>
    <w:lvl w:ilvl="3">
      <w:start w:val="1"/>
      <w:numFmt w:val="decimal"/>
      <w:lvlText w:val="%4."/>
      <w:lvlJc w:val="left"/>
      <w:pPr>
        <w:tabs>
          <w:tab w:val="num" w:pos="0"/>
        </w:tabs>
        <w:ind w:left="1680" w:hanging="420"/>
      </w:pPr>
    </w:lvl>
    <w:lvl w:ilvl="4">
      <w:start w:val="1"/>
      <w:numFmt w:val="lowerLetter"/>
      <w:lvlText w:val="%5)"/>
      <w:lvlJc w:val="left"/>
      <w:pPr>
        <w:tabs>
          <w:tab w:val="num" w:pos="0"/>
        </w:tabs>
        <w:ind w:left="2100" w:hanging="420"/>
      </w:pPr>
    </w:lvl>
    <w:lvl w:ilvl="5">
      <w:start w:val="1"/>
      <w:numFmt w:val="lowerRoman"/>
      <w:lvlText w:val="%6."/>
      <w:lvlJc w:val="right"/>
      <w:pPr>
        <w:tabs>
          <w:tab w:val="num" w:pos="0"/>
        </w:tabs>
        <w:ind w:left="2520" w:hanging="420"/>
      </w:pPr>
    </w:lvl>
    <w:lvl w:ilvl="6">
      <w:start w:val="1"/>
      <w:numFmt w:val="decimal"/>
      <w:lvlText w:val="%7."/>
      <w:lvlJc w:val="left"/>
      <w:pPr>
        <w:tabs>
          <w:tab w:val="num" w:pos="0"/>
        </w:tabs>
        <w:ind w:left="2940" w:hanging="420"/>
      </w:pPr>
    </w:lvl>
    <w:lvl w:ilvl="7">
      <w:start w:val="1"/>
      <w:numFmt w:val="lowerLetter"/>
      <w:lvlText w:val="%8)"/>
      <w:lvlJc w:val="left"/>
      <w:pPr>
        <w:tabs>
          <w:tab w:val="num" w:pos="0"/>
        </w:tabs>
        <w:ind w:left="3360" w:hanging="420"/>
      </w:pPr>
    </w:lvl>
    <w:lvl w:ilvl="8">
      <w:start w:val="1"/>
      <w:numFmt w:val="lowerRoman"/>
      <w:lvlText w:val="%9."/>
      <w:lvlJc w:val="right"/>
      <w:pPr>
        <w:tabs>
          <w:tab w:val="num" w:pos="0"/>
        </w:tabs>
        <w:ind w:left="3780" w:hanging="420"/>
      </w:pPr>
    </w:lvl>
  </w:abstractNum>
  <w:abstractNum w:abstractNumId="11">
    <w:nsid w:val="1A615EBF"/>
    <w:multiLevelType w:val="multilevel"/>
    <w:tmpl w:val="3A57508B"/>
    <w:lvl w:ilvl="0">
      <w:start w:val="1"/>
      <w:numFmt w:val="japaneseCounting"/>
      <w:lvlRestart w:val="0"/>
      <w:pStyle w:val="39"/>
      <w:lvlText w:val="第%1章"/>
      <w:lvlJc w:val="left"/>
      <w:pPr>
        <w:tabs>
          <w:tab w:val="num" w:pos="0"/>
        </w:tabs>
        <w:ind w:left="1260" w:hanging="1260"/>
      </w:pPr>
      <w:rPr>
        <w:rFonts w:hint="default"/>
      </w:rPr>
    </w:lvl>
    <w:lvl w:ilvl="1">
      <w:start w:val="1"/>
      <w:numFmt w:val="lowerLetter"/>
      <w:lvlText w:val="%2)"/>
      <w:lvlJc w:val="left"/>
      <w:pPr>
        <w:tabs>
          <w:tab w:val="num" w:pos="0"/>
        </w:tabs>
        <w:ind w:left="840" w:hanging="420"/>
      </w:pPr>
    </w:lvl>
    <w:lvl w:ilvl="2">
      <w:start w:val="1"/>
      <w:numFmt w:val="lowerRoman"/>
      <w:lvlText w:val="%3."/>
      <w:lvlJc w:val="right"/>
      <w:pPr>
        <w:tabs>
          <w:tab w:val="num" w:pos="0"/>
        </w:tabs>
        <w:ind w:left="1260" w:hanging="420"/>
      </w:pPr>
    </w:lvl>
    <w:lvl w:ilvl="3">
      <w:start w:val="1"/>
      <w:numFmt w:val="decimal"/>
      <w:lvlText w:val="%4."/>
      <w:lvlJc w:val="left"/>
      <w:pPr>
        <w:tabs>
          <w:tab w:val="num" w:pos="0"/>
        </w:tabs>
        <w:ind w:left="1680" w:hanging="420"/>
      </w:pPr>
    </w:lvl>
    <w:lvl w:ilvl="4">
      <w:start w:val="1"/>
      <w:numFmt w:val="lowerLetter"/>
      <w:lvlText w:val="%5)"/>
      <w:lvlJc w:val="left"/>
      <w:pPr>
        <w:tabs>
          <w:tab w:val="num" w:pos="0"/>
        </w:tabs>
        <w:ind w:left="2100" w:hanging="420"/>
      </w:pPr>
    </w:lvl>
    <w:lvl w:ilvl="5">
      <w:start w:val="1"/>
      <w:numFmt w:val="lowerRoman"/>
      <w:lvlText w:val="%6."/>
      <w:lvlJc w:val="right"/>
      <w:pPr>
        <w:tabs>
          <w:tab w:val="num" w:pos="0"/>
        </w:tabs>
        <w:ind w:left="2520" w:hanging="420"/>
      </w:pPr>
    </w:lvl>
    <w:lvl w:ilvl="6">
      <w:start w:val="1"/>
      <w:numFmt w:val="decimal"/>
      <w:lvlText w:val="%7."/>
      <w:lvlJc w:val="left"/>
      <w:pPr>
        <w:tabs>
          <w:tab w:val="num" w:pos="0"/>
        </w:tabs>
        <w:ind w:left="2940" w:hanging="420"/>
      </w:pPr>
    </w:lvl>
    <w:lvl w:ilvl="7">
      <w:start w:val="1"/>
      <w:numFmt w:val="lowerLetter"/>
      <w:lvlText w:val="%8)"/>
      <w:lvlJc w:val="left"/>
      <w:pPr>
        <w:tabs>
          <w:tab w:val="num" w:pos="0"/>
        </w:tabs>
        <w:ind w:left="3360" w:hanging="420"/>
      </w:pPr>
    </w:lvl>
    <w:lvl w:ilvl="8">
      <w:start w:val="1"/>
      <w:numFmt w:val="lowerRoman"/>
      <w:lvlText w:val="%9."/>
      <w:lvlJc w:val="right"/>
      <w:pPr>
        <w:tabs>
          <w:tab w:val="num" w:pos="0"/>
        </w:tabs>
        <w:ind w:left="3780" w:hanging="42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00"/>
  <w:bordersDoNotSurroundHeader/>
  <w:bordersDoNotSurroundFooter/>
  <w:documentProtection w:edit="readOnly" w:enforcement="0"/>
  <w:defaultTabStop w:val="0"/>
  <w:drawingGridHorizontalSpacing w:val="140"/>
  <w:drawingGridVerticalSpacing w:val="381"/>
  <w:displayHorizontalDrawingGridEvery w:val="0"/>
  <w:displayVerticalDrawingGridEvery w:val="1"/>
  <w:characterSpacingControl w:val="compressPunctuation"/>
  <w:compat>
    <w:spaceForUL/>
    <w:balanceSingleByteDoubleByteWidth/>
    <w:ulTrailSpace/>
    <w:doNotExpandShiftReturn/>
    <w:adjustLineHeightInTable/>
    <w:compatSetting w:name="compatibilityMode" w:uri="http://schemas.microsoft.com/office/word" w:val="15"/>
  </w:compat>
  <w:docVars>
    <w:docVar w:name="commondata" w:val="eyJoZGlkIjoiYzg1NGZiZDQ3OWY1MTYyMTU5MjgyZjBlODYzMTRhOTcifQ=="/>
  </w:docVar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spacing w:line="500" w:lineRule="exact"/>
      <w:jc w:val="both"/>
    </w:pPr>
    <w:rPr>
      <w:rFonts w:ascii="Times New Roman" w:eastAsia="方正仿宋_GBK" w:cs="Times New Roman" w:hAnsi="Times New Roman"/>
      <w:sz w:val="28"/>
      <w:szCs w:val="21"/>
      <w:lang w:val="en-US" w:eastAsia="zh-CN" w:bidi="ar-SA"/>
    </w:rPr>
  </w:style>
  <w:style w:type="paragraph" w:styleId="1">
    <w:name w:val="heading 1"/>
    <w:basedOn w:val="0"/>
    <w:next w:val="0"/>
    <w:pPr>
      <w:keepNext/>
      <w:keepLines/>
      <w:widowControl w:val="0"/>
      <w:adjustRightInd w:val="0"/>
      <w:spacing w:beforeLines="50" w:before="50" w:afterLines="50" w:after="50"/>
      <w:jc w:val="center"/>
      <w:outlineLvl w:val="0"/>
    </w:pPr>
    <w:rPr>
      <w:rFonts w:eastAsia="方正黑体_GBK"/>
      <w:bCs/>
      <w:kern w:val="44"/>
      <w:sz w:val="36"/>
      <w:szCs w:val="30"/>
    </w:rPr>
  </w:style>
  <w:style w:type="paragraph" w:styleId="2">
    <w:name w:val="heading 2"/>
    <w:basedOn w:val="0"/>
    <w:next w:val="0"/>
    <w:pPr>
      <w:keepNext/>
      <w:keepLines/>
      <w:widowControl w:val="0"/>
      <w:spacing w:before="260" w:after="260" w:line="415" w:lineRule="auto"/>
      <w:outlineLvl w:val="1"/>
    </w:pPr>
    <w:rPr>
      <w:rFonts w:ascii="等线 Light" w:eastAsia="等线 Light" w:cs="Times New Roman"/>
      <w:b/>
      <w:bCs/>
      <w:sz w:val="32"/>
      <w:szCs w:val="32"/>
    </w:rPr>
  </w:style>
  <w:style w:type="paragraph" w:styleId="3">
    <w:name w:val="heading 3"/>
    <w:basedOn w:val="15"/>
    <w:pPr>
      <w:outlineLvl w:val="2"/>
    </w:pPr>
    <w:rPr>
      <w:bCs w:val="0"/>
      <w:sz w:val="28"/>
      <w:szCs w:val="28"/>
    </w:rPr>
  </w:style>
  <w:style w:type="paragraph" w:styleId="4">
    <w:name w:val="heading 4"/>
    <w:basedOn w:val="0"/>
    <w:next w:val="0"/>
    <w:pPr>
      <w:keepNext/>
      <w:keepLines/>
      <w:widowControl w:val="0"/>
      <w:spacing w:before="280" w:after="290" w:line="377" w:lineRule="auto"/>
      <w:outlineLvl w:val="3"/>
    </w:pPr>
    <w:rPr>
      <w:rFonts w:ascii="等线 Light" w:eastAsia="等线 Light" w:cs="Times New Roman"/>
      <w:b/>
      <w:bCs/>
      <w:szCs w:val="28"/>
    </w:rPr>
  </w:style>
  <w:style w:type="character" w:default="1" w:styleId="10">
    <w:name w:val="Default Paragraph Font"/>
  </w:style>
  <w:style w:type="paragraph" w:customStyle="1" w:styleId="15">
    <w:name w:val="标题2"/>
    <w:basedOn w:val="0"/>
    <w:next w:val="2"/>
    <w:pPr>
      <w:keepNext/>
      <w:keepLines/>
      <w:widowControl w:val="0"/>
      <w:outlineLvl w:val="1"/>
    </w:pPr>
    <w:rPr>
      <w:rFonts w:eastAsia="方正楷体_GBK"/>
      <w:bCs/>
      <w:sz w:val="32"/>
      <w:szCs w:val="32"/>
    </w:rPr>
  </w:style>
  <w:style w:type="paragraph" w:styleId="16">
    <w:name w:val="toc 7"/>
    <w:basedOn w:val="0"/>
    <w:next w:val="0"/>
    <w:pPr>
      <w:spacing w:line="240" w:lineRule="auto"/>
      <w:ind w:leftChars="1200" w:left="1200"/>
    </w:pPr>
    <w:rPr>
      <w:rFonts w:ascii="等线" w:eastAsia="等线" w:cs="Arial"/>
      <w:kern w:val="2"/>
      <w:sz w:val="21"/>
      <w:szCs w:val="22"/>
    </w:rPr>
  </w:style>
  <w:style w:type="paragraph" w:styleId="17">
    <w:name w:val="Normal Indent"/>
    <w:basedOn w:val="0"/>
    <w:next w:val="0"/>
    <w:pPr>
      <w:autoSpaceDE w:val="0"/>
      <w:autoSpaceDN w:val="0"/>
      <w:spacing w:line="240" w:lineRule="auto"/>
      <w:ind w:left="181" w:firstLine="420"/>
    </w:pPr>
    <w:rPr>
      <w:rFonts w:ascii="Calibri" w:eastAsia="楷体_GB2312" w:hAnsi="Calibri"/>
      <w:b/>
      <w:sz w:val="21"/>
      <w:szCs w:val="20"/>
    </w:rPr>
  </w:style>
  <w:style w:type="paragraph" w:styleId="18">
    <w:name w:val="annotation text"/>
    <w:basedOn w:val="0"/>
    <w:pPr>
      <w:jc w:val="left"/>
    </w:pPr>
  </w:style>
  <w:style w:type="paragraph" w:styleId="19">
    <w:name w:val="Body Text"/>
    <w:basedOn w:val="0"/>
    <w:pPr>
      <w:spacing w:after="120"/>
    </w:pPr>
  </w:style>
  <w:style w:type="paragraph" w:styleId="20">
    <w:name w:val="toc 5"/>
    <w:basedOn w:val="0"/>
    <w:next w:val="0"/>
    <w:pPr>
      <w:spacing w:line="240" w:lineRule="auto"/>
      <w:ind w:leftChars="800" w:left="800"/>
    </w:pPr>
    <w:rPr>
      <w:rFonts w:ascii="等线" w:eastAsia="等线" w:cs="Arial"/>
      <w:kern w:val="2"/>
      <w:sz w:val="21"/>
      <w:szCs w:val="22"/>
    </w:rPr>
  </w:style>
  <w:style w:type="paragraph" w:styleId="21">
    <w:name w:val="toc 3"/>
    <w:basedOn w:val="0"/>
    <w:next w:val="0"/>
    <w:pPr>
      <w:ind w:leftChars="200" w:left="200"/>
    </w:pPr>
    <w:rPr>
      <w:rFonts w:eastAsia="方正楷体_GBK"/>
    </w:rPr>
  </w:style>
  <w:style w:type="paragraph" w:styleId="22">
    <w:name w:val="toc 8"/>
    <w:basedOn w:val="0"/>
    <w:next w:val="0"/>
    <w:pPr>
      <w:spacing w:line="240" w:lineRule="auto"/>
      <w:ind w:leftChars="1400" w:left="1400"/>
    </w:pPr>
    <w:rPr>
      <w:rFonts w:ascii="等线" w:eastAsia="等线" w:cs="Arial"/>
      <w:kern w:val="2"/>
      <w:sz w:val="21"/>
      <w:szCs w:val="22"/>
    </w:rPr>
  </w:style>
  <w:style w:type="paragraph" w:styleId="23">
    <w:name w:val="Date"/>
    <w:basedOn w:val="0"/>
    <w:next w:val="0"/>
    <w:pPr>
      <w:ind w:leftChars="2500" w:left="2500"/>
    </w:pPr>
  </w:style>
  <w:style w:type="paragraph" w:styleId="24">
    <w:name w:val="Balloon Text"/>
    <w:basedOn w:val="0"/>
    <w:pPr>
      <w:spacing w:line="240" w:lineRule="auto"/>
    </w:pPr>
    <w:rPr>
      <w:sz w:val="18"/>
      <w:szCs w:val="18"/>
    </w:rPr>
  </w:style>
  <w:style w:type="paragraph" w:styleId="25">
    <w:name w:val="footer"/>
    <w:basedOn w:val="0"/>
    <w:pPr>
      <w:tabs>
        <w:tab w:val="center" w:pos="4153"/>
        <w:tab w:val="right" w:pos="8306"/>
      </w:tabs>
      <w:snapToGrid w:val="0"/>
      <w:jc w:val="left"/>
    </w:pPr>
    <w:rPr>
      <w:sz w:val="18"/>
      <w:szCs w:val="18"/>
    </w:rPr>
  </w:style>
  <w:style w:type="paragraph" w:styleId="26">
    <w:name w:val="header"/>
    <w:basedOn w:val="0"/>
    <w:pPr>
      <w:pBdr>
        <w:bottom w:val="single" w:sz="6" w:space="1" w:color="auto"/>
      </w:pBdr>
      <w:tabs>
        <w:tab w:val="center" w:pos="4153"/>
        <w:tab w:val="right" w:pos="8306"/>
      </w:tabs>
      <w:snapToGrid w:val="0"/>
      <w:jc w:val="center"/>
    </w:pPr>
    <w:rPr>
      <w:sz w:val="18"/>
      <w:szCs w:val="18"/>
    </w:rPr>
  </w:style>
  <w:style w:type="paragraph" w:styleId="27">
    <w:name w:val="toc 1"/>
    <w:basedOn w:val="0"/>
    <w:next w:val="0"/>
    <w:pPr>
      <w:spacing w:before="120" w:after="120"/>
      <w:jc w:val="left"/>
    </w:pPr>
    <w:rPr>
      <w:rFonts w:eastAsia="方正黑体_GBK"/>
      <w:bCs/>
      <w:caps/>
      <w:smallCaps w:val="0"/>
      <w:sz w:val="30"/>
      <w:szCs w:val="20"/>
    </w:rPr>
  </w:style>
  <w:style w:type="paragraph" w:styleId="28">
    <w:name w:val="toc 4"/>
    <w:basedOn w:val="0"/>
    <w:next w:val="0"/>
    <w:pPr>
      <w:spacing w:line="240" w:lineRule="auto"/>
      <w:ind w:leftChars="600" w:left="600"/>
    </w:pPr>
    <w:rPr>
      <w:rFonts w:ascii="等线" w:eastAsia="等线" w:cs="Arial"/>
      <w:kern w:val="2"/>
      <w:sz w:val="21"/>
      <w:szCs w:val="22"/>
    </w:rPr>
  </w:style>
  <w:style w:type="paragraph" w:styleId="29">
    <w:name w:val="toc 6"/>
    <w:basedOn w:val="0"/>
    <w:next w:val="0"/>
    <w:pPr>
      <w:spacing w:line="240" w:lineRule="auto"/>
      <w:ind w:leftChars="1000" w:left="1000"/>
    </w:pPr>
    <w:rPr>
      <w:rFonts w:ascii="等线" w:eastAsia="等线" w:cs="Arial"/>
      <w:kern w:val="2"/>
      <w:sz w:val="21"/>
      <w:szCs w:val="22"/>
    </w:rPr>
  </w:style>
  <w:style w:type="paragraph" w:styleId="30">
    <w:name w:val="toc 2"/>
    <w:basedOn w:val="0"/>
    <w:next w:val="0"/>
    <w:pPr>
      <w:tabs>
        <w:tab w:val="right" w:leader="dot" w:pos="8296"/>
      </w:tabs>
      <w:ind w:leftChars="100" w:left="100"/>
    </w:pPr>
    <w:rPr>
      <w:rFonts w:ascii="方正黑体_GBK" w:eastAsia="方正黑体_GBK"/>
    </w:rPr>
  </w:style>
  <w:style w:type="paragraph" w:styleId="31">
    <w:name w:val="toc 9"/>
    <w:basedOn w:val="0"/>
    <w:next w:val="0"/>
    <w:pPr>
      <w:spacing w:line="240" w:lineRule="auto"/>
      <w:ind w:leftChars="1600" w:left="1600"/>
    </w:pPr>
    <w:rPr>
      <w:rFonts w:ascii="等线" w:eastAsia="等线" w:cs="Arial"/>
      <w:kern w:val="2"/>
      <w:sz w:val="21"/>
      <w:szCs w:val="22"/>
    </w:rPr>
  </w:style>
  <w:style w:type="paragraph" w:styleId="32">
    <w:name w:val="Normal (Web)"/>
    <w:basedOn w:val="0"/>
    <w:pPr>
      <w:widowControl/>
      <w:spacing w:before="100" w:beforeAutospacing="1" w:after="100" w:afterAutospacing="1" w:line="240" w:lineRule="auto"/>
      <w:jc w:val="left"/>
    </w:pPr>
    <w:rPr>
      <w:rFonts w:ascii="宋体" w:eastAsia="宋体" w:cs="宋体"/>
      <w:sz w:val="24"/>
      <w:szCs w:val="24"/>
    </w:rPr>
  </w:style>
  <w:style w:type="paragraph" w:styleId="33">
    <w:name w:val="annotation subject"/>
    <w:basedOn w:val="18"/>
    <w:next w:val="18"/>
    <w:rPr>
      <w:b/>
      <w:bCs/>
    </w:rPr>
  </w:style>
  <w:style w:type="paragraph" w:styleId="34">
    <w:name w:val="Body Text First Indent"/>
    <w:basedOn w:val="19"/>
    <w:pPr>
      <w:tabs>
        <w:tab w:val="left" w:pos="560"/>
        <w:tab w:val="left" w:pos="3920"/>
        <w:tab w:val="left" w:pos="5600"/>
      </w:tabs>
      <w:spacing w:line="240" w:lineRule="auto"/>
      <w:ind w:firstLineChars="200" w:firstLine="200"/>
      <w:textAlignment w:val="baseline"/>
    </w:pPr>
    <w:rPr>
      <w:rFonts w:eastAsia="宋体"/>
      <w:kern w:val="2"/>
      <w:sz w:val="21"/>
      <w:szCs w:val="22"/>
    </w:rPr>
  </w:style>
  <w:style w:type="character" w:styleId="35">
    <w:name w:val="FollowedHyperlink"/>
    <w:basedOn w:val="10"/>
    <w:rPr>
      <w:color w:val="954F72"/>
      <w:u w:val="single"/>
    </w:rPr>
  </w:style>
  <w:style w:type="character" w:styleId="36">
    <w:name w:val="Hyperlink"/>
    <w:basedOn w:val="10"/>
    <w:rPr>
      <w:color w:val="0563C1"/>
      <w:u w:val="single"/>
    </w:rPr>
  </w:style>
  <w:style w:type="character" w:styleId="37">
    <w:name w:val="annotation reference"/>
    <w:basedOn w:val="10"/>
    <w:rPr>
      <w:sz w:val="21"/>
      <w:szCs w:val="21"/>
    </w:rPr>
  </w:style>
  <w:style w:type="paragraph" w:styleId="38">
    <w:name w:val="List Paragraph"/>
    <w:basedOn w:val="0"/>
    <w:pPr>
      <w:ind w:firstLineChars="200" w:firstLine="200"/>
    </w:pPr>
  </w:style>
  <w:style w:type="paragraph" w:customStyle="1" w:styleId="39">
    <w:name w:val="标题1"/>
    <w:basedOn w:val="1"/>
    <w:pPr>
      <w:numPr>
        <w:ilvl w:val="0"/>
        <w:numId w:val="12"/>
      </w:numPr>
    </w:pPr>
    <w:rPr>
      <w:sz w:val="32"/>
    </w:rPr>
  </w:style>
  <w:style w:type="paragraph" w:customStyle="1" w:styleId="40">
    <w:name w:val="标题3"/>
    <w:basedOn w:val="3"/>
    <w:next w:val="3"/>
    <w:pPr>
      <w:spacing w:line="560" w:lineRule="exact"/>
      <w:ind w:firstLineChars="200" w:firstLine="200"/>
    </w:pPr>
    <w:rPr>
      <w:rFonts w:eastAsia="方正仿宋_GBK"/>
      <w:b/>
      <w:bCs/>
    </w:rPr>
  </w:style>
  <w:style w:type="paragraph" w:customStyle="1" w:styleId="41">
    <w:name w:val="标题4"/>
    <w:basedOn w:val="4"/>
    <w:next w:val="4"/>
    <w:pPr>
      <w:spacing w:before="0" w:after="0" w:line="377" w:lineRule="auto"/>
    </w:pPr>
    <w:rPr>
      <w:rFonts w:ascii="Times New Roman" w:eastAsia="方正楷体_GBK" w:cs="Times New Roman" w:hAnsi="Times New Roman"/>
      <w:b w:val="0"/>
      <w:bCs w:val="0"/>
    </w:rPr>
  </w:style>
  <w:style w:type="paragraph" w:customStyle="1" w:styleId="42">
    <w:name w:val="TOC 标题1"/>
    <w:basedOn w:val="1"/>
    <w:next w:val="0"/>
    <w:pPr>
      <w:keepNext/>
      <w:keepLines/>
      <w:widowControl/>
      <w:adjustRightInd/>
      <w:spacing w:beforeLines="0" w:before="240" w:afterLines="0" w:after="0" w:line="259" w:lineRule="auto"/>
      <w:jc w:val="left"/>
      <w:outlineLvl w:val="9"/>
    </w:pPr>
    <w:rPr>
      <w:rFonts w:ascii="等线 Light" w:eastAsia="等线 Light" w:cs="Times New Roman"/>
      <w:bCs w:val="0"/>
      <w:color w:val="2F5597"/>
      <w:kern w:val="0"/>
      <w:sz w:val="32"/>
      <w:szCs w:val="32"/>
    </w:rPr>
  </w:style>
  <w:style w:type="paragraph" w:customStyle="1" w:styleId="43">
    <w:name w:val="Default"/>
    <w:pPr>
      <w:widowControl w:val="0"/>
      <w:autoSpaceDE w:val="0"/>
      <w:autoSpaceDN w:val="0"/>
      <w:adjustRightInd w:val="0"/>
    </w:pPr>
    <w:rPr>
      <w:rFonts w:ascii="宋体" w:eastAsia="宋体" w:cs="宋体"/>
      <w:color w:val="000000"/>
      <w:sz w:val="24"/>
      <w:szCs w:val="24"/>
      <w:lang w:val="en-US" w:eastAsia="zh-CN" w:bidi="ar-SA"/>
    </w:rPr>
  </w:style>
  <w:style w:type="paragraph" w:customStyle="1" w:styleId="44">
    <w:name w:val="正文 文本"/>
    <w:pPr>
      <w:widowControl w:val="0"/>
      <w:snapToGrid w:val="0"/>
      <w:spacing w:line="500" w:lineRule="exact"/>
      <w:ind w:firstLineChars="200" w:firstLine="200"/>
      <w:jc w:val="both"/>
    </w:pPr>
    <w:rPr>
      <w:rFonts w:ascii="Times New Roman" w:eastAsia="仿宋_GB2312" w:cs="Times New Roman" w:hAnsi="Times New Roman"/>
      <w:kern w:val="2"/>
      <w:sz w:val="28"/>
      <w:szCs w:val="24"/>
      <w:lang w:val="en-US" w:eastAsia="zh-CN" w:bidi="ar-SA"/>
    </w:rPr>
  </w:style>
  <w:style w:type="paragraph" w:customStyle="1" w:styleId="45">
    <w:name w:val="+正文"/>
    <w:basedOn w:val="0"/>
    <w:pPr>
      <w:spacing w:line="360" w:lineRule="auto"/>
      <w:ind w:firstLineChars="200" w:firstLine="200"/>
    </w:pPr>
    <w:rPr>
      <w:rFonts w:eastAsia="宋体"/>
      <w:szCs w:val="28"/>
    </w:rPr>
  </w:style>
  <w:style w:type="character" w:customStyle="1" w:styleId="46">
    <w:name w:val="未处理的提及1"/>
    <w:basedOn w:val="10"/>
    <w:rPr>
      <w:color w:val="605E5C"/>
      <w:shd w:val="clear" w:color="auto" w:fill="E1DFDD"/>
    </w:rPr>
  </w:style>
  <w:style w:type="paragraph" w:customStyle="1" w:styleId="47">
    <w:name w:val="列出段落1"/>
    <w:basedOn w:val="0"/>
    <w:pPr>
      <w:spacing w:line="240" w:lineRule="auto"/>
      <w:ind w:firstLineChars="200" w:firstLine="200"/>
    </w:pPr>
    <w:rPr>
      <w:rFonts w:ascii="Calibri" w:eastAsia="宋体" w:cs="黑体" w:hAnsi="Calibri"/>
      <w:kern w:val="2"/>
      <w:sz w:val="21"/>
      <w:szCs w:val="22"/>
    </w:rPr>
  </w:style>
  <w:style w:type="character" w:customStyle="1" w:styleId="48">
    <w:name w:val="未处理的提及2"/>
    <w:basedOn w:val="10"/>
    <w:rPr>
      <w:color w:val="605E5C"/>
      <w:shd w:val="clear" w:color="auto" w:fill="E1DFDD"/>
    </w:rPr>
  </w:style>
  <w:style w:type="paragraph" w:customStyle="1" w:styleId="49">
    <w:name w:val="修订1"/>
    <w:rPr>
      <w:rFonts w:ascii="Times New Roman" w:eastAsia="方正仿宋_GBK" w:cs="Times New Roman" w:hAnsi="Times New Roman"/>
      <w:sz w:val="28"/>
      <w:szCs w:val="21"/>
      <w:lang w:val="en-US" w:eastAsia="zh-CN" w:bidi="ar-SA"/>
    </w:rPr>
  </w:style>
  <w:style w:type="paragraph" w:customStyle="1" w:styleId="50">
    <w:name w:val="Char Char Char Char Char Char Char5"/>
    <w:basedOn w:val="0"/>
    <w:pPr>
      <w:spacing w:line="240" w:lineRule="auto"/>
    </w:pPr>
    <w:rPr>
      <w:rFonts w:eastAsia="宋体"/>
      <w:kern w:val="2"/>
      <w:sz w:val="24"/>
      <w:szCs w:val="24"/>
    </w:rPr>
  </w:style>
  <w:style w:type="paragraph" w:customStyle="1" w:styleId="51">
    <w:name w:val="Char1"/>
    <w:basedOn w:val="0"/>
    <w:next w:val="0"/>
    <w:pPr>
      <w:tabs>
        <w:tab w:val="left" w:pos="720"/>
      </w:tabs>
      <w:spacing w:line="240" w:lineRule="atLeast"/>
      <w:ind w:left="1260" w:hanging="1260"/>
      <w:jc w:val="left"/>
    </w:pPr>
    <w:rPr>
      <w:rFonts w:eastAsia="宋体"/>
      <w:b/>
      <w:sz w:val="24"/>
      <w:szCs w:val="24"/>
    </w:rPr>
  </w:style>
  <w:style w:type="paragraph" w:customStyle="1" w:styleId="52">
    <w:name w:val="Table Paragraph"/>
    <w:basedOn w:val="0"/>
    <w:pPr>
      <w:autoSpaceDE w:val="0"/>
      <w:autoSpaceDN w:val="0"/>
      <w:spacing w:line="240" w:lineRule="auto"/>
      <w:jc w:val="left"/>
    </w:pPr>
    <w:rPr>
      <w:rFonts w:ascii="仿宋" w:eastAsia="仿宋" w:cs="仿宋"/>
      <w:sz w:val="22"/>
      <w:szCs w:val="22"/>
    </w:rPr>
  </w:style>
  <w:style w:type="paragraph" w:customStyle="1" w:styleId="53">
    <w:name w:val="msolistparagraph"/>
    <w:basedOn w:val="0"/>
    <w:pPr>
      <w:ind w:firstLineChars="200" w:firstLine="200"/>
    </w:pPr>
  </w:style>
  <w:style w:type="character" w:customStyle="1" w:styleId="54">
    <w:name w:val="未处理的提及3"/>
    <w:basedOn w:val="10"/>
    <w:rPr>
      <w:color w:val="605E5C"/>
      <w:shd w:val="clear" w:color="auto" w:fill="E1DFDD"/>
    </w:rPr>
  </w:style>
  <w:style w:type="paragraph" w:customStyle="1" w:styleId="55">
    <w:name w:val="Revision"/>
    <w:rPr>
      <w:rFonts w:ascii="Times New Roman" w:eastAsia="方正仿宋_GBK" w:cs="Times New Roman" w:hAnsi="Times New Roman"/>
      <w:sz w:val="28"/>
      <w:szCs w:val="21"/>
      <w:lang w:val="en-US" w:eastAsia="zh-CN" w:bidi="ar-SA"/>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styles" Target="styles.xml"/><Relationship Id="rId12" Type="http://schemas.openxmlformats.org/officeDocument/2006/relationships/numbering" Target="numbering.xml"/><Relationship Id="rId13" Type="http://schemas.openxmlformats.org/officeDocument/2006/relationships/fontTable" Target="fontTable.xml"/></Relationships>
</file>

<file path=docProps/app.xml><?xml version="1.0" encoding="utf-8"?>
<Properties xmlns="http://schemas.openxmlformats.org/officeDocument/2006/extended-properties">
  <Template>Normal.eit</Template>
  <TotalTime>37</TotalTime>
  <Application>Yozo_Office27021597764231179</Application>
  <Pages>101</Pages>
  <Words>62754</Words>
  <Characters>64453</Characters>
  <Lines>2849</Lines>
  <Paragraphs>1054</Paragraphs>
  <CharactersWithSpaces>64589</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joyce_sqy@163.com</dc:creator>
  <cp:lastModifiedBy>uos</cp:lastModifiedBy>
  <cp:revision>3</cp:revision>
  <cp:lastPrinted>2023-12-29T03:30:00Z</cp:lastPrinted>
  <dcterms:created xsi:type="dcterms:W3CDTF">2024-03-18T06:10:00Z</dcterms:created>
  <dcterms:modified xsi:type="dcterms:W3CDTF">2025-11-05T07:54:10Z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2052-12.1.0.15712</vt:lpwstr>
  </property>
  <property fmtid="{D5CDD505-2E9C-101B-9397-08002B2CF9AE}" pid="3" name="ICV">
    <vt:lpwstr>525A0C08DBE04FCBA5E4A9E1F858590B_13</vt:lpwstr>
  </property>
  <property fmtid="{D5CDD505-2E9C-101B-9397-08002B2CF9AE}" pid="4" name="KSOTemplateDocerSaveRecord">
    <vt:lpwstr>eyJoZGlkIjoiMmNhM2I2ZDU3ZDdlMTg1YmNiZGU5ZGEyZWQwMDM1MGYiLCJ1c2VySWQiOiI2NDE5Njc1MTcifQ==</vt:lpwstr>
  </property>
</Properties>
</file>