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pPr>
    </w:p>
    <w:p>
      <w:pPr>
        <w:ind w:firstLine="0"/>
      </w:pPr>
    </w:p>
    <w:p>
      <w:pPr>
        <w:ind w:firstLine="0"/>
      </w:pPr>
    </w:p>
    <w:p>
      <w:pPr>
        <w:ind w:firstLine="0"/>
      </w:pPr>
    </w:p>
    <w:p>
      <w:pPr>
        <w:ind w:firstLine="0"/>
      </w:pPr>
    </w:p>
    <w:p>
      <w:pPr>
        <w:ind w:firstLine="0"/>
      </w:pPr>
    </w:p>
    <w:p>
      <w:pPr>
        <w:ind w:firstLine="0"/>
      </w:pPr>
    </w:p>
    <w:p>
      <w:pPr>
        <w:ind w:firstLine="0"/>
      </w:pPr>
    </w:p>
    <w:p>
      <w:pPr>
        <w:spacing w:line="580" w:lineRule="exact"/>
        <w:jc w:val="center"/>
        <w:rPr>
          <w:sz w:val="44"/>
          <w:szCs w:val="44"/>
        </w:rPr>
      </w:pPr>
      <w:r>
        <w:rPr>
          <w:sz w:val="52"/>
        </w:rPr>
        <w:t>南京市雨花台区文旅局2020年度部门决算公开</w:t>
      </w:r>
    </w:p>
    <w:p>
      <w:pPr>
        <w:ind w:firstLine="0"/>
      </w:pPr>
    </w:p>
    <w:p>
      <w:pPr>
        <w:ind w:firstLine="0"/>
      </w:pPr>
    </w:p>
    <w:p>
      <w:pPr>
        <w:spacing w:line="550" w:lineRule="exact"/>
        <w:jc w:val="center"/>
        <w:rPr>
          <w:b/>
          <w:bCs/>
          <w:sz w:val="44"/>
          <w:szCs w:val="44"/>
        </w:rPr>
      </w:pPr>
      <w:r>
        <w:br w:type="page"/>
      </w:r>
      <w:r>
        <w:rPr>
          <w:b/>
          <w:bCs/>
          <w:sz w:val="44"/>
          <w:szCs w:val="44"/>
        </w:rPr>
        <w:t>目  录</w:t>
      </w:r>
    </w:p>
    <w:p>
      <w:pPr>
        <w:spacing w:line="550" w:lineRule="exact"/>
        <w:rPr>
          <w:b/>
          <w:bCs/>
          <w:szCs w:val="32"/>
        </w:rPr>
      </w:pPr>
      <w:r>
        <w:rPr>
          <w:rFonts w:hint="eastAsia"/>
          <w:b/>
          <w:bCs/>
          <w:szCs w:val="32"/>
        </w:rPr>
        <w:t>第一部分 部门概况</w:t>
      </w:r>
    </w:p>
    <w:p>
      <w:pPr>
        <w:spacing w:line="550" w:lineRule="exact"/>
        <w:rPr>
          <w:szCs w:val="32"/>
        </w:rPr>
      </w:pPr>
      <w:r>
        <w:rPr>
          <w:szCs w:val="32"/>
        </w:rPr>
        <w:t>一、主要职能</w:t>
      </w:r>
    </w:p>
    <w:p>
      <w:pPr>
        <w:spacing w:line="550" w:lineRule="exact"/>
        <w:rPr>
          <w:szCs w:val="32"/>
        </w:rPr>
      </w:pPr>
      <w:r>
        <w:rPr>
          <w:szCs w:val="32"/>
        </w:rPr>
        <w:t>二、部门机构设置及决算单位构成情况</w:t>
      </w:r>
    </w:p>
    <w:p>
      <w:pPr>
        <w:spacing w:line="550" w:lineRule="exact"/>
        <w:rPr>
          <w:szCs w:val="32"/>
        </w:rPr>
      </w:pPr>
      <w:r>
        <w:rPr>
          <w:szCs w:val="32"/>
        </w:rPr>
        <w:t>三、2020年度主要工作完成情况</w:t>
      </w:r>
    </w:p>
    <w:p>
      <w:pPr>
        <w:spacing w:line="550" w:lineRule="exact"/>
        <w:rPr>
          <w:b/>
          <w:bCs/>
          <w:szCs w:val="32"/>
        </w:rPr>
      </w:pPr>
      <w:r>
        <w:rPr>
          <w:rFonts w:hint="eastAsia"/>
          <w:b/>
          <w:bCs/>
          <w:szCs w:val="32"/>
        </w:rPr>
        <w:t xml:space="preserve">第二部分 </w:t>
      </w:r>
      <w:r>
        <w:rPr>
          <w:b/>
          <w:bCs/>
          <w:szCs w:val="32"/>
        </w:rPr>
        <w:t>2020</w:t>
      </w:r>
      <w:r>
        <w:rPr>
          <w:rFonts w:hint="eastAsia"/>
          <w:b/>
          <w:bCs/>
          <w:szCs w:val="32"/>
        </w:rPr>
        <w:t>年度部门决算表</w:t>
      </w:r>
    </w:p>
    <w:p>
      <w:pPr>
        <w:spacing w:line="550" w:lineRule="exact"/>
        <w:rPr>
          <w:szCs w:val="32"/>
        </w:rPr>
      </w:pPr>
      <w:r>
        <w:rPr>
          <w:szCs w:val="32"/>
        </w:rPr>
        <w:t>一、收入支出决算总表</w:t>
      </w:r>
    </w:p>
    <w:p>
      <w:pPr>
        <w:spacing w:line="550" w:lineRule="exact"/>
        <w:rPr>
          <w:szCs w:val="32"/>
        </w:rPr>
      </w:pPr>
      <w:r>
        <w:rPr>
          <w:szCs w:val="32"/>
        </w:rPr>
        <w:t>二、收入决算表</w:t>
      </w:r>
    </w:p>
    <w:p>
      <w:pPr>
        <w:spacing w:line="550" w:lineRule="exact"/>
        <w:rPr>
          <w:szCs w:val="32"/>
        </w:rPr>
      </w:pPr>
      <w:r>
        <w:rPr>
          <w:szCs w:val="32"/>
        </w:rPr>
        <w:t>三、支出决算表</w:t>
      </w:r>
    </w:p>
    <w:p>
      <w:pPr>
        <w:spacing w:line="550" w:lineRule="exact"/>
        <w:rPr>
          <w:szCs w:val="32"/>
        </w:rPr>
      </w:pPr>
      <w:r>
        <w:rPr>
          <w:szCs w:val="32"/>
        </w:rPr>
        <w:t>四、财政拨款收入支出决算总表</w:t>
      </w:r>
    </w:p>
    <w:p>
      <w:pPr>
        <w:spacing w:line="550" w:lineRule="exact"/>
        <w:rPr>
          <w:szCs w:val="32"/>
        </w:rPr>
      </w:pPr>
      <w:r>
        <w:rPr>
          <w:szCs w:val="32"/>
        </w:rPr>
        <w:t>五、财政拨款支出决算表（功能科目）</w:t>
      </w:r>
    </w:p>
    <w:p>
      <w:pPr>
        <w:spacing w:line="550" w:lineRule="exact"/>
        <w:rPr>
          <w:szCs w:val="32"/>
        </w:rPr>
      </w:pPr>
      <w:r>
        <w:rPr>
          <w:szCs w:val="32"/>
        </w:rPr>
        <w:t>六、财政拨款基本支出决算表（经济科目）</w:t>
      </w:r>
    </w:p>
    <w:p>
      <w:pPr>
        <w:spacing w:line="550" w:lineRule="exact"/>
        <w:rPr>
          <w:szCs w:val="32"/>
        </w:rPr>
      </w:pPr>
      <w:r>
        <w:rPr>
          <w:szCs w:val="32"/>
        </w:rPr>
        <w:t>七、一般公共预算支出决算表（功能科目）</w:t>
      </w:r>
    </w:p>
    <w:p>
      <w:pPr>
        <w:spacing w:line="550" w:lineRule="exact"/>
        <w:rPr>
          <w:szCs w:val="32"/>
        </w:rPr>
      </w:pPr>
      <w:r>
        <w:rPr>
          <w:szCs w:val="32"/>
        </w:rPr>
        <w:t>八、一般公共预算基本支出决算表（经济科目）</w:t>
      </w:r>
    </w:p>
    <w:p>
      <w:pPr>
        <w:spacing w:line="550" w:lineRule="exact"/>
        <w:rPr>
          <w:szCs w:val="32"/>
        </w:rPr>
      </w:pPr>
      <w:r>
        <w:rPr>
          <w:szCs w:val="32"/>
        </w:rPr>
        <w:t>九、一般公共预算“三公”经费、会议费、培训费支出决算表</w:t>
      </w:r>
    </w:p>
    <w:p>
      <w:pPr>
        <w:spacing w:line="550" w:lineRule="exact"/>
        <w:rPr>
          <w:szCs w:val="32"/>
        </w:rPr>
      </w:pPr>
      <w:r>
        <w:rPr>
          <w:szCs w:val="32"/>
        </w:rPr>
        <w:t>十、政府性基金预算收入支出决算表</w:t>
      </w:r>
    </w:p>
    <w:p>
      <w:pPr>
        <w:spacing w:line="550" w:lineRule="exact"/>
        <w:rPr>
          <w:szCs w:val="32"/>
        </w:rPr>
      </w:pPr>
      <w:r>
        <w:rPr>
          <w:szCs w:val="32"/>
        </w:rPr>
        <w:t>十一、一般公共预算机关运行经费支出决算表</w:t>
      </w:r>
    </w:p>
    <w:p>
      <w:pPr>
        <w:spacing w:line="550" w:lineRule="exact"/>
        <w:rPr>
          <w:szCs w:val="32"/>
        </w:rPr>
      </w:pPr>
      <w:r>
        <w:rPr>
          <w:szCs w:val="32"/>
        </w:rPr>
        <w:t>十二、政府采购支出</w:t>
      </w:r>
      <w:r>
        <w:rPr>
          <w:rFonts w:hint="eastAsia"/>
          <w:szCs w:val="32"/>
        </w:rPr>
        <w:t>决算</w:t>
      </w:r>
      <w:r>
        <w:rPr>
          <w:szCs w:val="32"/>
        </w:rPr>
        <w:t>表</w:t>
      </w:r>
    </w:p>
    <w:p>
      <w:pPr>
        <w:spacing w:line="550" w:lineRule="exact"/>
        <w:rPr>
          <w:b/>
          <w:bCs/>
          <w:szCs w:val="32"/>
        </w:rPr>
      </w:pPr>
      <w:r>
        <w:rPr>
          <w:rFonts w:hint="eastAsia"/>
          <w:b/>
          <w:bCs/>
          <w:szCs w:val="32"/>
        </w:rPr>
        <w:t xml:space="preserve">第三部分 </w:t>
      </w:r>
      <w:r>
        <w:rPr>
          <w:b/>
          <w:bCs/>
          <w:szCs w:val="32"/>
        </w:rPr>
        <w:t>2020</w:t>
      </w:r>
      <w:r>
        <w:rPr>
          <w:rFonts w:hint="eastAsia"/>
          <w:b/>
          <w:bCs/>
          <w:szCs w:val="32"/>
        </w:rPr>
        <w:t>年度部门决算情况说明</w:t>
      </w:r>
    </w:p>
    <w:p>
      <w:pPr>
        <w:spacing w:line="550" w:lineRule="exact"/>
        <w:rPr>
          <w:b/>
          <w:bCs/>
          <w:szCs w:val="32"/>
        </w:rPr>
      </w:pPr>
      <w:r>
        <w:rPr>
          <w:rFonts w:hint="eastAsia"/>
          <w:b/>
          <w:bCs/>
          <w:szCs w:val="32"/>
        </w:rPr>
        <w:t>第四部分 名词解释</w:t>
      </w:r>
    </w:p>
    <w:p>
      <w:pPr>
        <w:spacing w:before="100" w:beforeAutospacing="1" w:after="100" w:afterAutospacing="1" w:line="550" w:lineRule="exact"/>
        <w:jc w:val="center"/>
        <w:rPr>
          <w:b/>
          <w:bCs/>
          <w:sz w:val="36"/>
          <w:szCs w:val="36"/>
        </w:rPr>
      </w:pPr>
      <w:r>
        <w:rPr>
          <w:sz w:val="36"/>
          <w:szCs w:val="36"/>
        </w:rPr>
        <w:br w:type="page"/>
      </w:r>
      <w:r>
        <w:rPr>
          <w:b/>
          <w:bCs/>
          <w:sz w:val="36"/>
          <w:szCs w:val="36"/>
        </w:rPr>
        <w:t>第一部分　部门概况</w:t>
      </w:r>
    </w:p>
    <w:p>
      <w:pPr>
        <w:spacing w:line="550" w:lineRule="exact"/>
        <w:ind w:firstLine="643" w:firstLineChars="200"/>
        <w:rPr>
          <w:b/>
          <w:bCs/>
          <w:szCs w:val="32"/>
        </w:rPr>
      </w:pPr>
      <w:r>
        <w:rPr>
          <w:rFonts w:hint="eastAsia"/>
          <w:b/>
          <w:bCs/>
          <w:szCs w:val="32"/>
        </w:rPr>
        <w:t>一、主要职能</w:t>
      </w:r>
    </w:p>
    <w:p>
      <w:pPr>
        <w:keepNext w:val="0"/>
        <w:keepLines w:val="0"/>
        <w:widowControl/>
        <w:suppressLineNumbers w:val="0"/>
        <w:jc w:val="both"/>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(一)贯彻执行和国家及省、市、区有关文化、文物、广播电视、</w:t>
      </w:r>
    </w:p>
    <w:p>
      <w:pPr>
        <w:keepNext w:val="0"/>
        <w:keepLines w:val="0"/>
        <w:widowControl/>
        <w:suppressLineNumbers w:val="0"/>
        <w:jc w:val="both"/>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新闻出版事业和旅游事业的路线、方针、政策、法规和制度，并对基层和直属单位贯彻执行情况进行检查、监督。</w:t>
      </w:r>
    </w:p>
    <w:p>
      <w:pPr>
        <w:keepNext w:val="0"/>
        <w:keepLines w:val="0"/>
        <w:widowControl/>
        <w:suppressLineNumbers w:val="0"/>
        <w:jc w:val="both"/>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（二）管理全区公共图书事业，指导区图书馆设施现代化、管理网络化工作，推进文化信息资源共享工程点建设，促进全区公共图书事业的协调发展。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（三）把握正确的舆论导向，围绕区委、区政府中心工作，按照区委经济和社会事业发展目标要求，做好广播电视舆论宣传工作和广电传输网络事业建设。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（四）推动文化产业特色发展，加大文化惠民力度。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（五）综合管理全区社会文化、旅游事业；组织指导全区性重大文化艺术活动；指导协调少儿文化工作；组织实施全区旅游节庆会展活动；指导协调电影放映和图书发行工作。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(六)管理全区音像、图书、娱乐场所等文化市场，制定管理细则</w:t>
      </w:r>
      <w:r>
        <w:rPr>
          <w:rFonts w:hint="eastAsia" w:cs="宋体"/>
          <w:color w:val="333333"/>
          <w:kern w:val="0"/>
          <w:sz w:val="32"/>
          <w:szCs w:val="32"/>
          <w:lang w:val="en-US" w:eastAsia="zh-CN" w:bidi="ar"/>
        </w:rPr>
        <w:t>，</w:t>
      </w:r>
      <w:r>
        <w:rPr>
          <w:rFonts w:hint="eastAsia" w:ascii="宋体" w:hAnsi="宋体" w:eastAsia="宋体" w:cs="宋体"/>
          <w:color w:val="333333"/>
          <w:kern w:val="0"/>
          <w:sz w:val="32"/>
          <w:szCs w:val="32"/>
          <w:lang w:val="en-US" w:eastAsia="zh-CN" w:bidi="ar"/>
        </w:rPr>
        <w:t xml:space="preserve">成立管理队伍，组织指导文化市场的依法监督和稽查工作。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(七)管理全区有线电视和电讯网络系统及公共场所的音像视听工作。指导全区文化设施建设和广播电视基础规划建设，指导全区文化广播电视产业化发展工作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(八)负责全区文物和非物质文化遗产的保护、抢救和开发利用；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负责全区文物保护队伍建设；负责《文物保护法》的宣传工作。 </w:t>
      </w:r>
    </w:p>
    <w:p>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color w:val="333333"/>
          <w:kern w:val="0"/>
          <w:sz w:val="32"/>
          <w:szCs w:val="32"/>
          <w:lang w:val="en-US" w:eastAsia="zh-CN" w:bidi="ar"/>
        </w:rPr>
        <w:t xml:space="preserve">(九)贯彻执行国家有关新闻出版、著作权的法律法规，对新闻出版活动实施监督管理，查处违禁出版物和出版物市场“扫黄打非”的集中行动和大要案的查处。 </w:t>
      </w:r>
    </w:p>
    <w:p>
      <w:pPr>
        <w:keepNext w:val="0"/>
        <w:keepLines w:val="0"/>
        <w:widowControl/>
        <w:suppressLineNumbers w:val="0"/>
        <w:jc w:val="left"/>
        <w:rPr>
          <w:rFonts w:hint="eastAsia" w:ascii="宋体" w:hAnsi="宋体" w:eastAsia="宋体" w:cs="宋体"/>
          <w:color w:val="333333"/>
          <w:kern w:val="0"/>
          <w:sz w:val="32"/>
          <w:szCs w:val="32"/>
          <w:lang w:val="en-US" w:eastAsia="zh-CN" w:bidi="ar"/>
        </w:rPr>
      </w:pPr>
      <w:r>
        <w:rPr>
          <w:rFonts w:hint="eastAsia" w:ascii="宋体" w:hAnsi="宋体" w:eastAsia="宋体" w:cs="宋体"/>
          <w:color w:val="333333"/>
          <w:kern w:val="0"/>
          <w:sz w:val="32"/>
          <w:szCs w:val="32"/>
          <w:lang w:val="en-US" w:eastAsia="zh-CN" w:bidi="ar"/>
        </w:rPr>
        <w:t xml:space="preserve">(十)组织全区旅游资源普查工作，参与旅游资源开发、旅游设施建设、旅游环境改善等方面项目的规划、立项、审核工作；做好我区列入省、市旅游设施项目投资计划的申报工作，并参与项目管理；组织实施全区旅游景区(点)质量等级划分与评定；负责提出全区旅游事业发展费使用项目的计划安排，并组织实施和监督管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left"/>
        <w:rPr>
          <w:rFonts w:hint="eastAsia" w:ascii="宋体" w:hAnsi="宋体" w:eastAsia="宋体" w:cs="宋体"/>
          <w:b w:val="0"/>
          <w:bCs w:val="0"/>
          <w:i w:val="0"/>
          <w:caps w:val="0"/>
          <w:color w:val="333333"/>
          <w:spacing w:val="0"/>
          <w:sz w:val="32"/>
          <w:szCs w:val="32"/>
        </w:rPr>
      </w:pPr>
      <w:r>
        <w:rPr>
          <w:rFonts w:hint="eastAsia" w:cs="宋体"/>
          <w:b w:val="0"/>
          <w:bCs w:val="0"/>
          <w:i w:val="0"/>
          <w:caps w:val="0"/>
          <w:color w:val="333333"/>
          <w:spacing w:val="0"/>
          <w:kern w:val="0"/>
          <w:sz w:val="32"/>
          <w:szCs w:val="32"/>
          <w:shd w:val="clear" w:color="auto" w:fill="FFFFFF"/>
          <w:lang w:val="en-US" w:eastAsia="zh-CN" w:bidi="ar"/>
        </w:rPr>
        <w:t>（十一）</w:t>
      </w:r>
      <w:r>
        <w:rPr>
          <w:rFonts w:hint="eastAsia" w:ascii="宋体" w:hAnsi="宋体" w:eastAsia="宋体" w:cs="宋体"/>
          <w:b w:val="0"/>
          <w:bCs w:val="0"/>
          <w:i w:val="0"/>
          <w:caps w:val="0"/>
          <w:color w:val="333333"/>
          <w:spacing w:val="0"/>
          <w:kern w:val="0"/>
          <w:sz w:val="32"/>
          <w:szCs w:val="32"/>
          <w:shd w:val="clear" w:color="auto" w:fill="FFFFFF"/>
          <w:lang w:val="en-US" w:eastAsia="zh-CN" w:bidi="ar"/>
        </w:rPr>
        <w:t>研究制定我区体育事业的中长期发展规划和年度计划，并组织实施和监督检查，指导基层体育工作.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left"/>
        <w:rPr>
          <w:rFonts w:hint="eastAsia" w:ascii="宋体" w:hAnsi="宋体" w:eastAsia="宋体" w:cs="宋体"/>
          <w:b w:val="0"/>
          <w:bCs w:val="0"/>
          <w:i w:val="0"/>
          <w:caps w:val="0"/>
          <w:color w:val="333333"/>
          <w:spacing w:val="0"/>
          <w:sz w:val="32"/>
          <w:szCs w:val="32"/>
        </w:rPr>
      </w:pPr>
      <w:r>
        <w:rPr>
          <w:rFonts w:hint="eastAsia" w:cs="宋体"/>
          <w:b w:val="0"/>
          <w:bCs w:val="0"/>
          <w:i w:val="0"/>
          <w:caps w:val="0"/>
          <w:color w:val="333333"/>
          <w:spacing w:val="0"/>
          <w:kern w:val="0"/>
          <w:sz w:val="32"/>
          <w:szCs w:val="32"/>
          <w:shd w:val="clear" w:color="auto" w:fill="FFFFFF"/>
          <w:lang w:val="en-US" w:eastAsia="zh-CN" w:bidi="ar"/>
        </w:rPr>
        <w:t>（十二）</w:t>
      </w:r>
      <w:r>
        <w:rPr>
          <w:rFonts w:hint="eastAsia" w:ascii="宋体" w:hAnsi="宋体" w:eastAsia="宋体" w:cs="宋体"/>
          <w:b w:val="0"/>
          <w:bCs w:val="0"/>
          <w:i w:val="0"/>
          <w:caps w:val="0"/>
          <w:color w:val="333333"/>
          <w:spacing w:val="0"/>
          <w:kern w:val="0"/>
          <w:sz w:val="32"/>
          <w:szCs w:val="32"/>
          <w:shd w:val="clear" w:color="auto" w:fill="FFFFFF"/>
          <w:lang w:val="en-US" w:eastAsia="zh-CN" w:bidi="ar"/>
        </w:rPr>
        <w:t>指导，协调，监督全区各行业，部门和社会团体积极开展体育活动，推进体育工作社会化和全民健身活动的开展.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left"/>
        <w:rPr>
          <w:rFonts w:hint="eastAsia" w:ascii="宋体" w:hAnsi="宋体" w:eastAsia="宋体" w:cs="宋体"/>
          <w:b w:val="0"/>
          <w:bCs w:val="0"/>
          <w:i w:val="0"/>
          <w:caps w:val="0"/>
          <w:color w:val="333333"/>
          <w:spacing w:val="0"/>
          <w:sz w:val="32"/>
          <w:szCs w:val="32"/>
        </w:rPr>
      </w:pPr>
      <w:r>
        <w:rPr>
          <w:rFonts w:hint="eastAsia" w:cs="宋体"/>
          <w:b w:val="0"/>
          <w:bCs w:val="0"/>
          <w:i w:val="0"/>
          <w:caps w:val="0"/>
          <w:color w:val="333333"/>
          <w:spacing w:val="0"/>
          <w:kern w:val="0"/>
          <w:sz w:val="32"/>
          <w:szCs w:val="32"/>
          <w:shd w:val="clear" w:color="auto" w:fill="FFFFFF"/>
          <w:lang w:val="en-US" w:eastAsia="zh-CN" w:bidi="ar"/>
        </w:rPr>
        <w:t>（十三）</w:t>
      </w:r>
      <w:r>
        <w:rPr>
          <w:rFonts w:hint="eastAsia" w:ascii="宋体" w:hAnsi="宋体" w:eastAsia="宋体" w:cs="宋体"/>
          <w:b w:val="0"/>
          <w:bCs w:val="0"/>
          <w:i w:val="0"/>
          <w:caps w:val="0"/>
          <w:color w:val="333333"/>
          <w:spacing w:val="0"/>
          <w:kern w:val="0"/>
          <w:sz w:val="32"/>
          <w:szCs w:val="32"/>
          <w:shd w:val="clear" w:color="auto" w:fill="FFFFFF"/>
          <w:lang w:val="en-US" w:eastAsia="zh-CN" w:bidi="ar"/>
        </w:rPr>
        <w:t>指导，协调</w:t>
      </w:r>
      <w:r>
        <w:rPr>
          <w:rFonts w:hint="eastAsia" w:cs="宋体"/>
          <w:b w:val="0"/>
          <w:bCs w:val="0"/>
          <w:i w:val="0"/>
          <w:caps w:val="0"/>
          <w:color w:val="333333"/>
          <w:spacing w:val="0"/>
          <w:kern w:val="0"/>
          <w:sz w:val="32"/>
          <w:szCs w:val="32"/>
          <w:shd w:val="clear" w:color="auto" w:fill="FFFFFF"/>
          <w:lang w:val="en-US" w:eastAsia="zh-CN" w:bidi="ar"/>
        </w:rPr>
        <w:t>，</w:t>
      </w:r>
      <w:r>
        <w:rPr>
          <w:rFonts w:hint="eastAsia" w:ascii="宋体" w:hAnsi="宋体" w:eastAsia="宋体" w:cs="宋体"/>
          <w:b w:val="0"/>
          <w:bCs w:val="0"/>
          <w:i w:val="0"/>
          <w:caps w:val="0"/>
          <w:color w:val="333333"/>
          <w:spacing w:val="0"/>
          <w:kern w:val="0"/>
          <w:sz w:val="32"/>
          <w:szCs w:val="32"/>
          <w:shd w:val="clear" w:color="auto" w:fill="FFFFFF"/>
          <w:lang w:val="en-US" w:eastAsia="zh-CN" w:bidi="ar"/>
        </w:rPr>
        <w:t>监督全区体育竞赛工作，负责我区参加市级以上的各项体育赛事活动</w:t>
      </w:r>
    </w:p>
    <w:p>
      <w:pPr>
        <w:spacing w:line="550" w:lineRule="exact"/>
        <w:ind w:firstLine="643" w:firstLineChars="200"/>
        <w:rPr>
          <w:b/>
          <w:bCs/>
          <w:szCs w:val="32"/>
        </w:rPr>
      </w:pPr>
    </w:p>
    <w:p>
      <w:pPr>
        <w:spacing w:line="550" w:lineRule="exact"/>
        <w:ind w:firstLine="643" w:firstLineChars="200"/>
        <w:rPr>
          <w:b/>
          <w:bCs/>
          <w:szCs w:val="32"/>
        </w:rPr>
      </w:pPr>
      <w:r>
        <w:rPr>
          <w:rFonts w:hint="eastAsia"/>
          <w:b/>
          <w:bCs/>
          <w:szCs w:val="32"/>
        </w:rPr>
        <w:t>二、部门机构设置及决算单位构成情况</w:t>
      </w:r>
    </w:p>
    <w:p>
      <w:pPr>
        <w:keepNext w:val="0"/>
        <w:keepLines w:val="0"/>
        <w:widowControl/>
        <w:suppressLineNumbers w:val="0"/>
        <w:jc w:val="left"/>
        <w:rPr>
          <w:sz w:val="32"/>
          <w:szCs w:val="32"/>
        </w:rPr>
      </w:pPr>
      <w:r>
        <w:rPr>
          <w:kern w:val="0"/>
        </w:rPr>
        <w:t>1</w:t>
      </w:r>
      <w:r>
        <w:rPr>
          <w:rFonts w:hint="eastAsia"/>
          <w:kern w:val="0"/>
          <w:szCs w:val="32"/>
        </w:rPr>
        <w:t>．</w:t>
      </w:r>
      <w:r>
        <w:rPr>
          <w:kern w:val="0"/>
        </w:rPr>
        <w:t>根据部门职责分工，本部门内设机构包括</w:t>
      </w:r>
      <w:r>
        <w:rPr>
          <w:rFonts w:hint="eastAsia" w:ascii="宋体" w:hAnsi="宋体" w:eastAsia="宋体" w:cs="宋体"/>
          <w:color w:val="000000"/>
          <w:kern w:val="0"/>
          <w:sz w:val="31"/>
          <w:szCs w:val="31"/>
          <w:lang w:val="en-US" w:eastAsia="zh-CN" w:bidi="ar"/>
        </w:rPr>
        <w:t>：</w:t>
      </w:r>
      <w:r>
        <w:rPr>
          <w:rFonts w:hint="eastAsia" w:ascii="宋体" w:hAnsi="宋体" w:eastAsia="宋体" w:cs="宋体"/>
          <w:color w:val="000000"/>
          <w:kern w:val="0"/>
          <w:sz w:val="32"/>
          <w:szCs w:val="32"/>
          <w:lang w:val="en-US" w:eastAsia="zh-CN" w:bidi="ar"/>
        </w:rPr>
        <w:t xml:space="preserve">党政办公室、 </w:t>
      </w:r>
    </w:p>
    <w:p>
      <w:pPr>
        <w:keepNext w:val="0"/>
        <w:keepLines w:val="0"/>
        <w:widowControl/>
        <w:suppressLineNumbers w:val="0"/>
        <w:jc w:val="left"/>
        <w:rPr>
          <w:sz w:val="32"/>
          <w:szCs w:val="32"/>
        </w:rPr>
      </w:pPr>
      <w:r>
        <w:rPr>
          <w:rFonts w:hint="eastAsia" w:ascii="宋体" w:hAnsi="宋体" w:eastAsia="宋体" w:cs="宋体"/>
          <w:color w:val="000000"/>
          <w:kern w:val="0"/>
          <w:sz w:val="32"/>
          <w:szCs w:val="32"/>
          <w:lang w:val="en-US" w:eastAsia="zh-CN" w:bidi="ar"/>
        </w:rPr>
        <w:t>组织人事科、计划财务科、文化产业科、</w:t>
      </w:r>
      <w:r>
        <w:rPr>
          <w:rFonts w:hint="eastAsia" w:cs="宋体"/>
          <w:color w:val="000000"/>
          <w:kern w:val="0"/>
          <w:sz w:val="32"/>
          <w:szCs w:val="32"/>
          <w:lang w:val="en-US" w:eastAsia="zh-CN" w:bidi="ar"/>
        </w:rPr>
        <w:t>文化遗传管理科、广播电视科、旅游开发科、旅游管理科、文化艺术科、文化市场管理科、体育产业科、群众体育科共12个科室。</w:t>
      </w:r>
      <w:r>
        <w:rPr>
          <w:rFonts w:hint="eastAsia" w:ascii="宋体" w:hAnsi="宋体" w:eastAsia="宋体" w:cs="宋体"/>
          <w:color w:val="000000"/>
          <w:kern w:val="0"/>
          <w:sz w:val="32"/>
          <w:szCs w:val="32"/>
          <w:lang w:val="en-US" w:eastAsia="zh-CN" w:bidi="ar"/>
        </w:rPr>
        <w:t xml:space="preserve">编制人数 </w:t>
      </w:r>
      <w:r>
        <w:rPr>
          <w:rFonts w:hint="eastAsia" w:cs="宋体"/>
          <w:color w:val="000000"/>
          <w:kern w:val="0"/>
          <w:sz w:val="32"/>
          <w:szCs w:val="32"/>
          <w:lang w:val="en-US" w:eastAsia="zh-CN" w:bidi="ar"/>
        </w:rPr>
        <w:t>23</w:t>
      </w:r>
      <w:r>
        <w:rPr>
          <w:rFonts w:hint="eastAsia" w:ascii="宋体" w:hAnsi="宋体" w:eastAsia="宋体" w:cs="宋体"/>
          <w:color w:val="000000"/>
          <w:kern w:val="0"/>
          <w:sz w:val="32"/>
          <w:szCs w:val="32"/>
          <w:lang w:val="en-US" w:eastAsia="zh-CN" w:bidi="ar"/>
        </w:rPr>
        <w:t>人，实有在职</w:t>
      </w:r>
      <w:r>
        <w:rPr>
          <w:rFonts w:hint="eastAsia" w:cs="宋体"/>
          <w:color w:val="000000"/>
          <w:kern w:val="0"/>
          <w:sz w:val="32"/>
          <w:szCs w:val="32"/>
          <w:lang w:val="en-US" w:eastAsia="zh-CN" w:bidi="ar"/>
        </w:rPr>
        <w:t>26</w:t>
      </w:r>
      <w:r>
        <w:rPr>
          <w:rFonts w:hint="eastAsia" w:ascii="宋体" w:hAnsi="宋体" w:eastAsia="宋体" w:cs="宋体"/>
          <w:color w:val="000000"/>
          <w:kern w:val="0"/>
          <w:sz w:val="32"/>
          <w:szCs w:val="32"/>
          <w:lang w:val="en-US" w:eastAsia="zh-CN" w:bidi="ar"/>
        </w:rPr>
        <w:t>人</w:t>
      </w:r>
      <w:r>
        <w:rPr>
          <w:rFonts w:hint="eastAsia" w:cs="宋体"/>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离退休</w:t>
      </w:r>
      <w:r>
        <w:rPr>
          <w:rFonts w:hint="eastAsia" w:cs="宋体"/>
          <w:color w:val="000000"/>
          <w:kern w:val="0"/>
          <w:sz w:val="32"/>
          <w:szCs w:val="32"/>
          <w:lang w:val="en-US" w:eastAsia="zh-CN" w:bidi="ar"/>
        </w:rPr>
        <w:t>12</w:t>
      </w:r>
      <w:r>
        <w:rPr>
          <w:rFonts w:hint="eastAsia" w:ascii="宋体" w:hAnsi="宋体" w:eastAsia="宋体" w:cs="宋体"/>
          <w:color w:val="000000"/>
          <w:kern w:val="0"/>
          <w:sz w:val="32"/>
          <w:szCs w:val="32"/>
          <w:lang w:val="en-US" w:eastAsia="zh-CN" w:bidi="ar"/>
        </w:rPr>
        <w:t>人。</w:t>
      </w:r>
      <w:r>
        <w:rPr>
          <w:spacing w:val="-8"/>
          <w:kern w:val="0"/>
          <w:sz w:val="32"/>
          <w:szCs w:val="32"/>
        </w:rPr>
        <w:t>本部门下属单位包括：</w:t>
      </w:r>
      <w:r>
        <w:rPr>
          <w:rFonts w:hint="eastAsia" w:cs="宋体"/>
          <w:color w:val="333333"/>
          <w:kern w:val="0"/>
          <w:sz w:val="32"/>
          <w:szCs w:val="32"/>
        </w:rPr>
        <w:t>雨花台区人民广播电台、雨花台区文化</w:t>
      </w:r>
      <w:r>
        <w:rPr>
          <w:rFonts w:hint="eastAsia" w:cs="宋体"/>
          <w:color w:val="333333"/>
          <w:kern w:val="0"/>
          <w:sz w:val="32"/>
          <w:szCs w:val="32"/>
          <w:lang w:eastAsia="zh-CN"/>
        </w:rPr>
        <w:t>馆、雨花台区文物保护管理所、雨花台</w:t>
      </w:r>
      <w:r>
        <w:rPr>
          <w:rFonts w:hint="eastAsia" w:ascii="宋体" w:hAnsi="宋体" w:eastAsia="宋体" w:cs="宋体"/>
          <w:color w:val="000000"/>
          <w:kern w:val="0"/>
          <w:sz w:val="32"/>
          <w:szCs w:val="32"/>
          <w:lang w:val="en-US" w:eastAsia="zh-CN" w:bidi="ar"/>
        </w:rPr>
        <w:t>区青少年业余体育学校</w:t>
      </w:r>
      <w:r>
        <w:rPr>
          <w:rFonts w:hint="eastAsia" w:cs="宋体"/>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编制数总计为：</w:t>
      </w:r>
      <w:r>
        <w:rPr>
          <w:rFonts w:hint="eastAsia" w:cs="宋体"/>
          <w:color w:val="000000"/>
          <w:kern w:val="0"/>
          <w:sz w:val="32"/>
          <w:szCs w:val="32"/>
          <w:lang w:val="en-US" w:eastAsia="zh-CN" w:bidi="ar"/>
        </w:rPr>
        <w:t>58人</w:t>
      </w:r>
      <w:r>
        <w:rPr>
          <w:rFonts w:hint="eastAsia" w:ascii="宋体" w:hAnsi="宋体" w:eastAsia="宋体" w:cs="宋体"/>
          <w:color w:val="000000"/>
          <w:kern w:val="0"/>
          <w:sz w:val="32"/>
          <w:szCs w:val="32"/>
          <w:lang w:val="en-US" w:eastAsia="zh-CN" w:bidi="ar"/>
        </w:rPr>
        <w:t>。实际事业编人员为：</w:t>
      </w:r>
      <w:r>
        <w:rPr>
          <w:rFonts w:hint="eastAsia" w:cs="宋体"/>
          <w:color w:val="000000"/>
          <w:kern w:val="0"/>
          <w:sz w:val="32"/>
          <w:szCs w:val="32"/>
          <w:lang w:val="en-US" w:eastAsia="zh-CN" w:bidi="ar"/>
        </w:rPr>
        <w:t>50</w:t>
      </w:r>
      <w:r>
        <w:rPr>
          <w:rFonts w:hint="eastAsia" w:ascii="宋体" w:hAnsi="宋体" w:eastAsia="宋体" w:cs="宋体"/>
          <w:color w:val="000000"/>
          <w:kern w:val="0"/>
          <w:sz w:val="32"/>
          <w:szCs w:val="32"/>
          <w:lang w:val="en-US" w:eastAsia="zh-CN" w:bidi="ar"/>
        </w:rPr>
        <w:t>人。离退</w:t>
      </w:r>
      <w:r>
        <w:rPr>
          <w:rFonts w:hint="eastAsia" w:cs="宋体"/>
          <w:color w:val="000000"/>
          <w:kern w:val="0"/>
          <w:sz w:val="32"/>
          <w:szCs w:val="32"/>
          <w:lang w:val="en-US" w:eastAsia="zh-CN" w:bidi="ar"/>
        </w:rPr>
        <w:t>休：</w:t>
      </w:r>
      <w:r>
        <w:rPr>
          <w:rFonts w:hint="eastAsia" w:ascii="宋体" w:hAnsi="宋体" w:eastAsia="宋体" w:cs="宋体"/>
          <w:color w:val="000000"/>
          <w:kern w:val="0"/>
          <w:sz w:val="32"/>
          <w:szCs w:val="32"/>
          <w:lang w:val="en-US" w:eastAsia="zh-CN" w:bidi="ar"/>
        </w:rPr>
        <w:t>30人。</w:t>
      </w:r>
    </w:p>
    <w:p>
      <w:pPr>
        <w:numPr>
          <w:ilvl w:val="0"/>
          <w:numId w:val="1"/>
        </w:numPr>
        <w:spacing w:line="550" w:lineRule="exact"/>
        <w:rPr>
          <w:rFonts w:hint="eastAsia" w:cs="宋体"/>
          <w:color w:val="000000"/>
          <w:kern w:val="0"/>
          <w:sz w:val="31"/>
          <w:szCs w:val="31"/>
          <w:lang w:val="en-US" w:eastAsia="zh-CN" w:bidi="ar"/>
        </w:rPr>
      </w:pPr>
      <w:r>
        <w:t>2.从决算单位构成看，纳入南京市雨花台区文旅局2020年部门汇总决算编制范围的预算单位共计</w:t>
      </w:r>
      <w:r>
        <w:rPr>
          <w:rFonts w:hint="eastAsia"/>
          <w:lang w:eastAsia="zh-CN"/>
        </w:rPr>
        <w:t>六</w:t>
      </w:r>
      <w:r>
        <w:t>家，具体包括： 南京市雨花台区文旅局本级、</w:t>
      </w:r>
      <w:r>
        <w:rPr>
          <w:rFonts w:hint="eastAsia" w:cs="宋体"/>
          <w:color w:val="333333"/>
          <w:kern w:val="0"/>
          <w:sz w:val="32"/>
          <w:szCs w:val="32"/>
        </w:rPr>
        <w:t>雨花台区人民广播电台、雨花台区文化</w:t>
      </w:r>
      <w:r>
        <w:rPr>
          <w:rFonts w:hint="eastAsia" w:cs="宋体"/>
          <w:color w:val="333333"/>
          <w:kern w:val="0"/>
          <w:sz w:val="32"/>
          <w:szCs w:val="32"/>
          <w:lang w:eastAsia="zh-CN"/>
        </w:rPr>
        <w:t>馆、雨花台区图书馆、雨花台区文物保护管理所、雨花台</w:t>
      </w:r>
      <w:r>
        <w:rPr>
          <w:rFonts w:hint="eastAsia" w:ascii="宋体" w:hAnsi="宋体" w:eastAsia="宋体" w:cs="宋体"/>
          <w:color w:val="000000"/>
          <w:kern w:val="0"/>
          <w:sz w:val="32"/>
          <w:szCs w:val="32"/>
          <w:lang w:val="en-US" w:eastAsia="zh-CN" w:bidi="ar"/>
        </w:rPr>
        <w:t>区青少年业余体育学校</w:t>
      </w:r>
      <w:r>
        <w:rPr>
          <w:rFonts w:hint="eastAsia" w:cs="宋体"/>
          <w:color w:val="000000"/>
          <w:kern w:val="0"/>
          <w:sz w:val="31"/>
          <w:szCs w:val="31"/>
          <w:lang w:val="en-US" w:eastAsia="zh-CN" w:bidi="ar"/>
        </w:rPr>
        <w:t>。</w:t>
      </w:r>
    </w:p>
    <w:p>
      <w:pPr>
        <w:spacing w:line="550" w:lineRule="exact"/>
        <w:ind w:firstLine="640" w:firstLineChars="200"/>
        <w:rPr>
          <w:color w:val="FF0000"/>
          <w:szCs w:val="32"/>
        </w:rPr>
      </w:pPr>
      <w:r>
        <w:t>。</w:t>
      </w:r>
    </w:p>
    <w:p>
      <w:pPr>
        <w:spacing w:line="550" w:lineRule="exact"/>
        <w:ind w:firstLine="643" w:firstLineChars="200"/>
        <w:rPr>
          <w:b/>
          <w:bCs/>
          <w:szCs w:val="32"/>
        </w:rPr>
      </w:pPr>
      <w:r>
        <w:rPr>
          <w:rFonts w:hint="eastAsia"/>
          <w:b/>
          <w:bCs/>
          <w:szCs w:val="32"/>
        </w:rPr>
        <w:t>三、2020年度主要工作完成情况</w:t>
      </w:r>
    </w:p>
    <w:p>
      <w:pPr>
        <w:spacing w:line="550" w:lineRule="exact"/>
        <w:ind w:firstLine="640" w:firstLineChars="200"/>
        <w:rPr>
          <w:szCs w:val="32"/>
        </w:rPr>
      </w:pPr>
    </w:p>
    <w:p>
      <w:pPr>
        <w:adjustRightInd w:val="0"/>
        <w:snapToGrid w:val="0"/>
        <w:spacing w:line="52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（一）</w:t>
      </w:r>
      <w:r>
        <w:rPr>
          <w:rFonts w:hint="eastAsia" w:asciiTheme="minorEastAsia" w:hAnsiTheme="minorEastAsia" w:eastAsiaTheme="minorEastAsia" w:cstheme="minorEastAsia"/>
          <w:bCs/>
          <w:sz w:val="32"/>
          <w:szCs w:val="32"/>
        </w:rPr>
        <w:t>公共体育服务体系智慧化</w:t>
      </w:r>
    </w:p>
    <w:p>
      <w:pPr>
        <w:adjustRightInd w:val="0"/>
        <w:snapToGrid w:val="0"/>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积极推动“智慧化”发展，在游园绿地项目中因地制宜的植入二代智能健身路径，今年，建成全区首条智能健身步道-花神湖健身步道。全国第二批智慧社区健身中心和全省首批智慧社区健身中心试点再次落户雨花； </w:t>
      </w:r>
    </w:p>
    <w:p>
      <w:pPr>
        <w:adjustRightInd w:val="0"/>
        <w:snapToGrid w:val="0"/>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（二）国家级山水画展品牌化</w:t>
      </w:r>
    </w:p>
    <w:p>
      <w:pPr>
        <w:adjustRightInd w:val="0"/>
        <w:snapToGrid w:val="0"/>
        <w:spacing w:line="576"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进一步扩大雨花文化影响力、打造品牌画展，更好地满足人民精神文化生活新期待，与中国美术家协会共同举办“2020雨花满天—全国山水画作品展”自5月11日启动征稿，共征集到来自全国的投稿作品2509件，经初评、复评，最终选定240件作品入选展览。</w:t>
      </w:r>
    </w:p>
    <w:p>
      <w:pPr>
        <w:adjustRightInd w:val="0"/>
        <w:snapToGrid w:val="0"/>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（三）足球改革发展普及化</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推动足球深化改革，全区7个社会足球场地建设已全部完成，通过建设社会足球场地，开展足球赛事活动等方式，夯实足球运动基础，推动足球运动发展，普及足球运动参与率，不断提振足球运动信心。</w:t>
      </w:r>
    </w:p>
    <w:p>
      <w:pPr>
        <w:adjustRightInd w:val="0"/>
        <w:snapToGrid w:val="0"/>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（四）“书香雨花”建设共享化</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立一支由13位既喜爱阅读，又熟悉本区红色文化资源的志愿者组成的红色阅读推广人队伍，通过进学校、社区、企业开展领读、导读。开展“为中华崛起而读书——阅读国学经典，厚植爱国情怀”、“快乐‘书’期‘悦’读相随”暑期、关爱特殊群体等系列读书活动，截止10月底，以线上线下“两条线”开展各类阅读活动共计295场，172198人次参与，营造了浓郁的书香氛围，实现了取得了阶段性成效。</w:t>
      </w:r>
    </w:p>
    <w:p>
      <w:pPr>
        <w:adjustRightInd w:val="0"/>
        <w:snapToGrid w:val="0"/>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（五）体育产业项目示范化</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我区体育企业“骑酷体育文化推广有限公司” 晋升为规模以上企业，该企业申报的“不止骑认证赛事”项目，获“国家体育产业示范项目”；雨花台区体育中心获南京市体育产业示范项目；江苏苏宁体育文化有限公司获南京市体育产业示范单位；江苏苏宁足球俱乐部有限公司获评南京市“十强体育企业”。 </w:t>
      </w:r>
    </w:p>
    <w:p>
      <w:pPr>
        <w:spacing w:line="550" w:lineRule="exact"/>
        <w:ind w:firstLine="640" w:firstLineChars="200"/>
        <w:rPr>
          <w:rFonts w:hint="eastAsia" w:asciiTheme="minorEastAsia" w:hAnsiTheme="minorEastAsia" w:eastAsiaTheme="minorEastAsia" w:cstheme="minorEastAsia"/>
          <w:sz w:val="32"/>
          <w:szCs w:val="32"/>
        </w:rPr>
        <w:sectPr>
          <w:footerReference r:id="rId5" w:type="default"/>
          <w:footerReference r:id="rId6" w:type="even"/>
          <w:pgSz w:w="11906" w:h="16838"/>
          <w:pgMar w:top="1814" w:right="1588" w:bottom="1985" w:left="1588" w:header="851" w:footer="992" w:gutter="0"/>
          <w:pgNumType w:start="1"/>
          <w:cols w:space="425" w:num="1"/>
          <w:docGrid w:type="lines" w:linePitch="312" w:charSpace="0"/>
        </w:sectPr>
      </w:pPr>
    </w:p>
    <w:p>
      <w:pPr>
        <w:spacing w:before="100" w:beforeAutospacing="1" w:after="100" w:afterAutospacing="1" w:line="550" w:lineRule="exact"/>
        <w:ind w:firstLine="0"/>
        <w:jc w:val="center"/>
        <w:rPr>
          <w:b/>
          <w:bCs/>
          <w:sz w:val="36"/>
          <w:szCs w:val="36"/>
        </w:rPr>
      </w:pPr>
      <w:r>
        <w:t>第二部分　南京市雨花台区文旅局2020年度部门决算表</w:t>
      </w: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收入支出决算总表</w:t>
      </w:r>
    </w:p>
    <w:tbl>
      <w:tblPr>
        <w:tblStyle w:val="6"/>
        <w:tblW w:w="5050" w:type="pct"/>
        <w:tblInd w:w="0" w:type="dxa"/>
        <w:tblLayout w:type="autofit"/>
        <w:tblCellMar>
          <w:top w:w="0" w:type="dxa"/>
          <w:left w:w="108" w:type="dxa"/>
          <w:bottom w:w="0" w:type="dxa"/>
          <w:right w:w="108" w:type="dxa"/>
        </w:tblCellMar>
      </w:tblPr>
      <w:tblGrid>
        <w:gridCol w:w="4861"/>
        <w:gridCol w:w="2139"/>
        <w:gridCol w:w="5177"/>
        <w:gridCol w:w="2139"/>
      </w:tblGrid>
      <w:tr>
        <w:tblPrEx>
          <w:tblCellMar>
            <w:top w:w="0" w:type="dxa"/>
            <w:left w:w="108" w:type="dxa"/>
            <w:bottom w:w="0" w:type="dxa"/>
            <w:right w:w="108" w:type="dxa"/>
          </w:tblCellMar>
        </w:tblPrEx>
        <w:trPr>
          <w:trHeight w:val="300" w:hRule="atLeast"/>
        </w:trPr>
        <w:tc>
          <w:tcPr>
            <w:tcW w:w="1698"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7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80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47"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4"/>
                <w:szCs w:val="24"/>
              </w:rPr>
            </w:pPr>
            <w:r>
              <w:rPr>
                <w:rFonts w:hint="eastAsia" w:cs="Arial"/>
                <w:color w:val="000000"/>
                <w:sz w:val="20"/>
              </w:rPr>
              <w:t>公开01表</w:t>
            </w:r>
          </w:p>
        </w:tc>
      </w:tr>
      <w:tr>
        <w:tblPrEx>
          <w:tblCellMar>
            <w:top w:w="0" w:type="dxa"/>
            <w:left w:w="108" w:type="dxa"/>
            <w:bottom w:w="0" w:type="dxa"/>
            <w:right w:w="108" w:type="dxa"/>
          </w:tblCellMar>
        </w:tblPrEx>
        <w:trPr>
          <w:trHeight w:val="300" w:hRule="atLeast"/>
        </w:trPr>
        <w:tc>
          <w:tcPr>
            <w:tcW w:w="2445" w:type="pct"/>
            <w:gridSpan w:val="2"/>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rPr>
            </w:pPr>
            <w:r>
              <w:rPr>
                <w:rFonts w:hint="eastAsia" w:cs="Arial"/>
                <w:color w:val="000000"/>
                <w:sz w:val="20"/>
              </w:rPr>
              <w:t>部门名称:南京市雨花台区文旅局</w:t>
            </w:r>
          </w:p>
        </w:tc>
        <w:tc>
          <w:tcPr>
            <w:tcW w:w="1808" w:type="pct"/>
            <w:tcBorders>
              <w:top w:val="nil"/>
              <w:left w:val="nil"/>
              <w:bottom w:val="nil"/>
              <w:right w:val="nil"/>
            </w:tcBorders>
            <w:shd w:val="clear" w:color="000000" w:fill="FFFFFF"/>
            <w:noWrap/>
            <w:vAlign w:val="bottom"/>
          </w:tcPr>
          <w:p>
            <w:pPr>
              <w:spacing w:line="200" w:lineRule="auto"/>
              <w:ind w:firstLine="0"/>
              <w:jc w:val="center"/>
              <w:rPr>
                <w:rFonts w:cs="Arial"/>
                <w:color w:val="000000"/>
              </w:rPr>
            </w:pPr>
            <w:r>
              <w:rPr>
                <w:rFonts w:hint="eastAsia" w:cs="Arial"/>
                <w:color w:val="000000"/>
                <w:sz w:val="20"/>
              </w:rPr>
              <w:t>　</w:t>
            </w:r>
          </w:p>
        </w:tc>
        <w:tc>
          <w:tcPr>
            <w:tcW w:w="747" w:type="pct"/>
            <w:tcBorders>
              <w:top w:val="nil"/>
              <w:left w:val="nil"/>
              <w:bottom w:val="nil"/>
              <w:right w:val="nil"/>
            </w:tcBorders>
            <w:shd w:val="clear" w:color="000000" w:fill="FFFFFF"/>
            <w:noWrap/>
            <w:vAlign w:val="bottom"/>
          </w:tcPr>
          <w:p>
            <w:pPr>
              <w:spacing w:line="200" w:lineRule="auto"/>
              <w:ind w:firstLine="0"/>
              <w:jc w:val="right"/>
              <w:rPr>
                <w:rFonts w:cs="Arial"/>
                <w:color w:val="000000"/>
              </w:rPr>
            </w:pPr>
            <w:r>
              <w:rPr>
                <w:rFonts w:hint="eastAsia" w:cs="Arial"/>
                <w:color w:val="000000"/>
                <w:sz w:val="20"/>
              </w:rPr>
              <w:t>金额单位：万元</w:t>
            </w:r>
          </w:p>
        </w:tc>
      </w:tr>
      <w:tr>
        <w:tblPrEx>
          <w:tblCellMar>
            <w:top w:w="0" w:type="dxa"/>
            <w:left w:w="108" w:type="dxa"/>
            <w:bottom w:w="0" w:type="dxa"/>
            <w:right w:w="108" w:type="dxa"/>
          </w:tblCellMar>
        </w:tblPrEx>
        <w:trPr>
          <w:trHeight w:val="308" w:hRule="atLeast"/>
        </w:trPr>
        <w:tc>
          <w:tcPr>
            <w:tcW w:w="2445" w:type="pct"/>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收入</w:t>
            </w:r>
          </w:p>
        </w:tc>
        <w:tc>
          <w:tcPr>
            <w:tcW w:w="2555" w:type="pct"/>
            <w:gridSpan w:val="2"/>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支出</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w:t>
            </w:r>
          </w:p>
        </w:tc>
        <w:tc>
          <w:tcPr>
            <w:tcW w:w="7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决算数</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按功能分类</w:t>
            </w:r>
          </w:p>
        </w:tc>
        <w:tc>
          <w:tcPr>
            <w:tcW w:w="7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决算数</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一、一般公共预算财政拨款收入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4774.49</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一、一般公共服务支出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二、政府性基金预算财政拨款收入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二、外交支出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三、国有资本经营预算财政拨款收入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三、国防支出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四、上级补助收入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四、公共安全支出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五、事业收入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191.88</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五、教育支出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六、经营收入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六、科学技术支出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七、附属单位上缴收入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七、文化旅游体育与传媒支出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3981.94</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八、其他收入</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0.74</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八、社会保障和就业支出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233.20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九、卫生健康支出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十、节能环保支出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十一、城乡社区支出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十二、农林水支出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十三、交通运输支出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十四、资源勘探工业信息等支出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十五、商业服务业等支出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十六、金融支出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十七、援助其他地区支出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十八、自然资源海洋气象等支出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十九、住房保障支出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二十、粮油物资储备支出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二十一、国有资本经营预算支出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二十二、灾害防治及应急管理支出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二十三、其他支出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60.39</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二十四、债务还本支出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二十五、债务付息支出</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二十六、抗疫特别国债安排的支出</w:t>
            </w:r>
          </w:p>
        </w:tc>
        <w:tc>
          <w:tcPr>
            <w:tcW w:w="747"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本年收入合计</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5013.11</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本年支出合计</w:t>
            </w:r>
          </w:p>
        </w:tc>
        <w:tc>
          <w:tcPr>
            <w:tcW w:w="747"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5200.18</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FF0000"/>
                <w:sz w:val="22"/>
                <w:szCs w:val="22"/>
              </w:rPr>
              <w:t xml:space="preserve">   </w:t>
            </w:r>
            <w:r>
              <w:rPr>
                <w:rFonts w:hint="eastAsia" w:cs="Arial"/>
                <w:color w:val="000000"/>
                <w:sz w:val="22"/>
                <w:szCs w:val="22"/>
              </w:rPr>
              <w:t xml:space="preserve"> 使用非财政拨款结余</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167.43</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FF0000"/>
                <w:sz w:val="22"/>
                <w:szCs w:val="22"/>
              </w:rPr>
              <w:t xml:space="preserve">   </w:t>
            </w:r>
            <w:r>
              <w:rPr>
                <w:rFonts w:hint="eastAsia" w:cs="Arial"/>
                <w:color w:val="000000"/>
                <w:sz w:val="22"/>
                <w:szCs w:val="22"/>
              </w:rPr>
              <w:t xml:space="preserve"> 结余分配</w:t>
            </w:r>
          </w:p>
        </w:tc>
        <w:tc>
          <w:tcPr>
            <w:tcW w:w="747"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FF0000"/>
                <w:sz w:val="22"/>
                <w:szCs w:val="22"/>
              </w:rPr>
              <w:t xml:space="preserve">   </w:t>
            </w:r>
            <w:r>
              <w:rPr>
                <w:rFonts w:hint="eastAsia" w:cs="Arial"/>
                <w:color w:val="000000"/>
                <w:sz w:val="22"/>
                <w:szCs w:val="22"/>
              </w:rPr>
              <w:t xml:space="preserve"> 年初结转和结余</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406.27</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FF0000"/>
                <w:sz w:val="22"/>
                <w:szCs w:val="22"/>
              </w:rPr>
              <w:t xml:space="preserve">   </w:t>
            </w:r>
            <w:r>
              <w:rPr>
                <w:rFonts w:hint="eastAsia" w:cs="Arial"/>
                <w:color w:val="000000"/>
                <w:sz w:val="22"/>
                <w:szCs w:val="22"/>
              </w:rPr>
              <w:t xml:space="preserve"> 年末结转和结余</w:t>
            </w:r>
          </w:p>
        </w:tc>
        <w:tc>
          <w:tcPr>
            <w:tcW w:w="747"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386.63</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747" w:type="pct"/>
            <w:tcBorders>
              <w:top w:val="nil"/>
              <w:left w:val="nil"/>
              <w:bottom w:val="single" w:color="000000" w:sz="4" w:space="0"/>
              <w:right w:val="single" w:color="000000" w:sz="4" w:space="0"/>
            </w:tcBorders>
            <w:shd w:val="clear" w:color="000000" w:fill="FFFFFF"/>
            <w:vAlign w:val="center"/>
          </w:tcPr>
          <w:p>
            <w:pPr>
              <w:spacing w:line="200" w:lineRule="auto"/>
              <w:ind w:firstLine="0"/>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trPr>
        <w:tc>
          <w:tcPr>
            <w:tcW w:w="1698"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总计</w:t>
            </w:r>
          </w:p>
        </w:tc>
        <w:tc>
          <w:tcPr>
            <w:tcW w:w="74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5586.81</w:t>
            </w:r>
          </w:p>
        </w:tc>
        <w:tc>
          <w:tcPr>
            <w:tcW w:w="1808"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总计</w:t>
            </w:r>
          </w:p>
        </w:tc>
        <w:tc>
          <w:tcPr>
            <w:tcW w:w="747"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5586.81</w:t>
            </w:r>
          </w:p>
        </w:tc>
      </w:tr>
      <w:tr>
        <w:tblPrEx>
          <w:tblCellMar>
            <w:top w:w="0" w:type="dxa"/>
            <w:left w:w="108" w:type="dxa"/>
            <w:bottom w:w="0" w:type="dxa"/>
            <w:right w:w="108" w:type="dxa"/>
          </w:tblCellMar>
        </w:tblPrEx>
        <w:trPr>
          <w:trHeight w:val="250" w:hRule="atLeast"/>
        </w:trPr>
        <w:tc>
          <w:tcPr>
            <w:tcW w:w="1698"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c>
          <w:tcPr>
            <w:tcW w:w="7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80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300" w:hRule="atLeast"/>
        </w:trPr>
        <w:tc>
          <w:tcPr>
            <w:tcW w:w="1698"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74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80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747"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收入决算表</w:t>
      </w:r>
    </w:p>
    <w:tbl>
      <w:tblPr>
        <w:tblStyle w:val="6"/>
        <w:tblW w:w="5000" w:type="pct"/>
        <w:tblInd w:w="0" w:type="dxa"/>
        <w:tblLayout w:type="autofit"/>
        <w:tblCellMar>
          <w:top w:w="0" w:type="dxa"/>
          <w:left w:w="108" w:type="dxa"/>
          <w:bottom w:w="0" w:type="dxa"/>
          <w:right w:w="108" w:type="dxa"/>
        </w:tblCellMar>
      </w:tblPr>
      <w:tblGrid>
        <w:gridCol w:w="327"/>
        <w:gridCol w:w="327"/>
        <w:gridCol w:w="332"/>
        <w:gridCol w:w="2518"/>
        <w:gridCol w:w="1001"/>
        <w:gridCol w:w="1536"/>
        <w:gridCol w:w="1536"/>
        <w:gridCol w:w="1001"/>
        <w:gridCol w:w="1756"/>
        <w:gridCol w:w="1096"/>
        <w:gridCol w:w="906"/>
        <w:gridCol w:w="1616"/>
        <w:gridCol w:w="222"/>
      </w:tblGrid>
      <w:tr>
        <w:tblPrEx>
          <w:tblCellMar>
            <w:top w:w="0" w:type="dxa"/>
            <w:left w:w="108" w:type="dxa"/>
            <w:bottom w:w="0" w:type="dxa"/>
            <w:right w:w="108" w:type="dxa"/>
          </w:tblCellMar>
        </w:tblPrEx>
        <w:trPr>
          <w:gridAfter w:val="1"/>
          <w:wAfter w:w="9" w:type="pct"/>
          <w:trHeight w:val="260" w:hRule="atLeast"/>
        </w:trPr>
        <w:tc>
          <w:tcPr>
            <w:tcW w:w="88"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8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001" w:type="pct"/>
            <w:tcBorders>
              <w:top w:val="nil"/>
              <w:left w:val="nil"/>
              <w:bottom w:val="nil"/>
              <w:right w:val="nil"/>
            </w:tcBorders>
            <w:shd w:val="clear" w:color="000000" w:fill="FFFFFF"/>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公开02表</w:t>
            </w:r>
          </w:p>
        </w:tc>
      </w:tr>
      <w:tr>
        <w:tblPrEx>
          <w:tblCellMar>
            <w:top w:w="0" w:type="dxa"/>
            <w:left w:w="108" w:type="dxa"/>
            <w:bottom w:w="0" w:type="dxa"/>
            <w:right w:w="108" w:type="dxa"/>
          </w:tblCellMar>
        </w:tblPrEx>
        <w:trPr>
          <w:gridAfter w:val="1"/>
          <w:wAfter w:w="9" w:type="pct"/>
          <w:trHeight w:val="260" w:hRule="atLeast"/>
        </w:trPr>
        <w:tc>
          <w:tcPr>
            <w:tcW w:w="1266" w:type="pct"/>
            <w:gridSpan w:val="4"/>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jc w:val="center"/>
              <w:rPr>
                <w:rFonts w:cs="Arial"/>
                <w:color w:val="000000"/>
                <w:sz w:val="20"/>
              </w:rPr>
            </w:pPr>
            <w:r>
              <w:rPr>
                <w:rFonts w:hint="eastAsia"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466"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9" w:type="pct"/>
          <w:trHeight w:val="308" w:hRule="atLeast"/>
        </w:trPr>
        <w:tc>
          <w:tcPr>
            <w:tcW w:w="126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466"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本年收入合计</w:t>
            </w:r>
          </w:p>
        </w:tc>
        <w:tc>
          <w:tcPr>
            <w:tcW w:w="466"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财政拨款收入</w:t>
            </w:r>
          </w:p>
        </w:tc>
        <w:tc>
          <w:tcPr>
            <w:tcW w:w="466"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上级补助收入</w:t>
            </w:r>
          </w:p>
        </w:tc>
        <w:tc>
          <w:tcPr>
            <w:tcW w:w="931" w:type="pct"/>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事业收入</w:t>
            </w:r>
          </w:p>
        </w:tc>
        <w:tc>
          <w:tcPr>
            <w:tcW w:w="466"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经营收入</w:t>
            </w:r>
          </w:p>
        </w:tc>
        <w:tc>
          <w:tcPr>
            <w:tcW w:w="466"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附属单位上缴收入</w:t>
            </w:r>
          </w:p>
        </w:tc>
        <w:tc>
          <w:tcPr>
            <w:tcW w:w="466"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其他收入</w:t>
            </w:r>
          </w:p>
        </w:tc>
      </w:tr>
      <w:tr>
        <w:tblPrEx>
          <w:tblCellMar>
            <w:top w:w="0" w:type="dxa"/>
            <w:left w:w="108" w:type="dxa"/>
            <w:bottom w:w="0" w:type="dxa"/>
            <w:right w:w="108" w:type="dxa"/>
          </w:tblCellMar>
        </w:tblPrEx>
        <w:trPr>
          <w:gridAfter w:val="1"/>
          <w:wAfter w:w="9" w:type="pct"/>
          <w:trHeight w:val="624" w:hRule="atLeast"/>
        </w:trPr>
        <w:tc>
          <w:tcPr>
            <w:tcW w:w="265"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功能分类科目编码</w:t>
            </w:r>
          </w:p>
        </w:tc>
        <w:tc>
          <w:tcPr>
            <w:tcW w:w="1001" w:type="pct"/>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931" w:type="pct"/>
            <w:gridSpan w:val="2"/>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gridAfter w:val="1"/>
          <w:wAfter w:w="9" w:type="pct"/>
          <w:trHeight w:val="624" w:hRule="atLeast"/>
        </w:trPr>
        <w:tc>
          <w:tcPr>
            <w:tcW w:w="265"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001"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restar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小计</w:t>
            </w:r>
          </w:p>
        </w:tc>
        <w:tc>
          <w:tcPr>
            <w:tcW w:w="466" w:type="pct"/>
            <w:vMerge w:val="restar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其中：教育收费</w:t>
            </w: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308" w:hRule="atLeast"/>
        </w:trPr>
        <w:tc>
          <w:tcPr>
            <w:tcW w:w="265"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001"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466"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9"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38" w:hRule="atLeast"/>
        </w:trPr>
        <w:tc>
          <w:tcPr>
            <w:tcW w:w="126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5013.11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4820.49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191.88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0.74</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科学技术支出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社会科学</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2060603</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社科基金支出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文化旅游体育与传媒支出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4063.56</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3870.94</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191.88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0.74</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文化和旅游</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2421.25</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2421.25</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行政运行</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948.73</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948.73</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2070104</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图书馆</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302.27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302.27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2070105</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文化展示及纪念机构</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135.63</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135.63</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2070108</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文化活动</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群众文化</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212.81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212.81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文化创作与保护</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2070113</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旅游宣传</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其他文化和旅游支出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286.81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286.81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文物</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113.52</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113.52</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其他文物支出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113.52</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113.52</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体育</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1014.26</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1014.26</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2070305</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体育竞赛</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2070306</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体育训练</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2070307</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体育场馆</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2070308</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群众体育</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410.98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410.98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其他体育支出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158.28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158.28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广播电视</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499.53</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306.91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191.88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0.74</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2070804</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广播</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499.53</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306.91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191.88</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0.74</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其他文化旅游体育与传媒支出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2079903</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文化产业发展专项支出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其他文化旅游体育与传媒支出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社会保障和就业支出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239.69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239.69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行政事业单位养老支出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227.34</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227.34</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行政单位离退休</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101.90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101.90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2080502</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事业单位离退休</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125.44</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125.44</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其他社会保障和就业支出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2089901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其他社会保障和就业支出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住房保障支出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住房改革支出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2210201</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住房公积金</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2210202</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提租补贴</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2210203</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购房补贴</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65.39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65.39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22960</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彩票公益金安排的支出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2296003</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用于体育事业的彩票公益金支出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w:t>
            </w:r>
          </w:p>
        </w:tc>
        <w:tc>
          <w:tcPr>
            <w:tcW w:w="1001"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65" w:type="pct"/>
            <w:gridSpan w:val="3"/>
            <w:tcBorders>
              <w:top w:val="nil"/>
              <w:left w:val="single" w:color="000000" w:sz="4" w:space="0"/>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2299901</w:t>
            </w:r>
          </w:p>
        </w:tc>
        <w:tc>
          <w:tcPr>
            <w:tcW w:w="1001" w:type="pct"/>
            <w:tcBorders>
              <w:top w:val="nil"/>
              <w:left w:val="nil"/>
              <w:bottom w:val="nil"/>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其他支出</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466"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0"/>
              </w:rPr>
            </w:pPr>
            <w:r>
              <w:rPr>
                <w:sz w:val="22"/>
              </w:rPr>
              <w:t>0.00</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4991" w:type="pct"/>
            <w:gridSpan w:val="12"/>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jc w:val="left"/>
              <w:rPr>
                <w:rFonts w:cs="Arial"/>
                <w:color w:val="000000"/>
                <w:sz w:val="20"/>
              </w:rPr>
            </w:pPr>
            <w:r>
              <w:rPr>
                <w:rFonts w:hint="eastAsia" w:cs="Arial"/>
                <w:color w:val="000000"/>
                <w:sz w:val="22"/>
              </w:rPr>
              <w:t>　</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8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001" w:type="pct"/>
            <w:tcBorders>
              <w:top w:val="nil"/>
              <w:left w:val="nil"/>
              <w:bottom w:val="nil"/>
              <w:right w:val="nil"/>
            </w:tcBorders>
            <w:shd w:val="clear" w:color="000000" w:fill="FFFFFF"/>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66"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9"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60" w:hRule="atLeast"/>
        </w:trPr>
        <w:tc>
          <w:tcPr>
            <w:tcW w:w="88"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8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8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001"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6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9"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支出决算表</w:t>
      </w:r>
    </w:p>
    <w:tbl>
      <w:tblPr>
        <w:tblStyle w:val="6"/>
        <w:tblW w:w="5000" w:type="pct"/>
        <w:tblInd w:w="0" w:type="dxa"/>
        <w:tblLayout w:type="autofit"/>
        <w:tblCellMar>
          <w:top w:w="0" w:type="dxa"/>
          <w:left w:w="108" w:type="dxa"/>
          <w:bottom w:w="0" w:type="dxa"/>
          <w:right w:w="108" w:type="dxa"/>
        </w:tblCellMar>
      </w:tblPr>
      <w:tblGrid>
        <w:gridCol w:w="344"/>
        <w:gridCol w:w="328"/>
        <w:gridCol w:w="398"/>
        <w:gridCol w:w="3406"/>
        <w:gridCol w:w="1572"/>
        <w:gridCol w:w="1572"/>
        <w:gridCol w:w="1572"/>
        <w:gridCol w:w="1572"/>
        <w:gridCol w:w="1572"/>
        <w:gridCol w:w="1616"/>
        <w:gridCol w:w="222"/>
      </w:tblGrid>
      <w:tr>
        <w:tblPrEx>
          <w:tblCellMar>
            <w:top w:w="0" w:type="dxa"/>
            <w:left w:w="108" w:type="dxa"/>
            <w:bottom w:w="0" w:type="dxa"/>
            <w:right w:w="108" w:type="dxa"/>
          </w:tblCellMar>
        </w:tblPrEx>
        <w:trPr>
          <w:gridAfter w:val="1"/>
          <w:wAfter w:w="11" w:type="pct"/>
          <w:trHeight w:val="260" w:hRule="atLeast"/>
        </w:trPr>
        <w:tc>
          <w:tcPr>
            <w:tcW w:w="130"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12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4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210" w:type="pct"/>
            <w:tcBorders>
              <w:top w:val="nil"/>
              <w:left w:val="nil"/>
              <w:bottom w:val="nil"/>
              <w:right w:val="nil"/>
            </w:tcBorders>
            <w:shd w:val="clear" w:color="000000" w:fill="FFFFFF"/>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公开03表</w:t>
            </w:r>
          </w:p>
        </w:tc>
      </w:tr>
      <w:tr>
        <w:tblPrEx>
          <w:tblCellMar>
            <w:top w:w="0" w:type="dxa"/>
            <w:left w:w="108" w:type="dxa"/>
            <w:bottom w:w="0" w:type="dxa"/>
            <w:right w:w="108" w:type="dxa"/>
          </w:tblCellMar>
        </w:tblPrEx>
        <w:trPr>
          <w:gridAfter w:val="1"/>
          <w:wAfter w:w="11" w:type="pct"/>
          <w:trHeight w:val="260" w:hRule="atLeast"/>
        </w:trPr>
        <w:tc>
          <w:tcPr>
            <w:tcW w:w="1613" w:type="pct"/>
            <w:gridSpan w:val="4"/>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jc w:val="center"/>
              <w:rPr>
                <w:rFonts w:cs="Arial"/>
                <w:color w:val="000000"/>
                <w:sz w:val="20"/>
              </w:rPr>
            </w:pPr>
            <w:r>
              <w:rPr>
                <w:rFonts w:hint="eastAsia"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63"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11" w:type="pct"/>
          <w:trHeight w:val="308" w:hRule="atLeast"/>
        </w:trPr>
        <w:tc>
          <w:tcPr>
            <w:tcW w:w="161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563"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本年支出合计</w:t>
            </w:r>
          </w:p>
        </w:tc>
        <w:tc>
          <w:tcPr>
            <w:tcW w:w="563"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基本支出</w:t>
            </w:r>
          </w:p>
        </w:tc>
        <w:tc>
          <w:tcPr>
            <w:tcW w:w="563"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项目支出</w:t>
            </w:r>
          </w:p>
        </w:tc>
        <w:tc>
          <w:tcPr>
            <w:tcW w:w="563"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上缴上级支出</w:t>
            </w:r>
          </w:p>
        </w:tc>
        <w:tc>
          <w:tcPr>
            <w:tcW w:w="563"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经营支出</w:t>
            </w:r>
          </w:p>
        </w:tc>
        <w:tc>
          <w:tcPr>
            <w:tcW w:w="563"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对附属单位补助支出</w:t>
            </w:r>
          </w:p>
        </w:tc>
      </w:tr>
      <w:tr>
        <w:tblPrEx>
          <w:tblCellMar>
            <w:top w:w="0" w:type="dxa"/>
            <w:left w:w="108" w:type="dxa"/>
            <w:bottom w:w="0" w:type="dxa"/>
            <w:right w:w="108" w:type="dxa"/>
          </w:tblCellMar>
        </w:tblPrEx>
        <w:trPr>
          <w:gridAfter w:val="1"/>
          <w:wAfter w:w="11" w:type="pct"/>
          <w:trHeight w:val="624" w:hRule="atLeast"/>
        </w:trPr>
        <w:tc>
          <w:tcPr>
            <w:tcW w:w="403"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功能分类科目编码</w:t>
            </w:r>
          </w:p>
        </w:tc>
        <w:tc>
          <w:tcPr>
            <w:tcW w:w="1210" w:type="pct"/>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308" w:hRule="atLeast"/>
        </w:trPr>
        <w:tc>
          <w:tcPr>
            <w:tcW w:w="403"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210"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1"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08" w:hRule="atLeast"/>
        </w:trPr>
        <w:tc>
          <w:tcPr>
            <w:tcW w:w="403"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210"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63"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1"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161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5200.18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2891.23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2308.95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科学技术支出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社会科学</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2060603</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社科基金支出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文化旅游体育与传媒支出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3981.94</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2017.59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1964.35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文化和旅游</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2312.95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1230.07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1082.88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行政运行</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944.77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944.77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2070104</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图书馆</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296.63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111.74</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184.89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2070105</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文化展示及纪念机构</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129.08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129.08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2070108</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文化活动</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421.02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421.02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群众文化</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220.39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173.56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46.83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文化创作与保护</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13.90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13.90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2070113</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旅游宣传</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其他文化和旅游支出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257.16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257.16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文物</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75.37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26.62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48.75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其他文物支出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75.37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26.62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48.75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体育</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907.87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93.04</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814.83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2070305</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体育竞赛</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197.41</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197.41</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2070306</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体育训练</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84.13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84.13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2070307</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体育场馆</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89.23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89.23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2070308</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群众体育</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376.32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376.32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其他体育支出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160.78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93.04</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67.74</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广播电视</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667.86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667.86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2070804</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广播</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667.86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667.86</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其他文化旅游体育与传媒支出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17.89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17.89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2079903</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文化产业发展专项支出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7.89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7.89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其他文化旅游体育与传媒支出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社会保障和就业支出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233.20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233.17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人力资源和社会保障管理事务</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2080102</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一般行政管理事务</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行政事业单位养老支出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220.82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220.82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行政单位离退休</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97.10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97.10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2080502</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事业单位离退休</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123.72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123.72</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其他社会保障和就业支出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其他社会保障和就业支出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城乡社区支出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其他城乡社区支出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2129901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其他城乡社区支出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住房保障支出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住房改革支出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2210201</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住房公积金</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2210202</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提租补贴</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2210203</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购房补贴</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60.39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60.39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22960</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彩票公益金安排的支出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2296003</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用于体育事业的彩票公益金支出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w:t>
            </w:r>
          </w:p>
        </w:tc>
        <w:tc>
          <w:tcPr>
            <w:tcW w:w="1210"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03" w:type="pct"/>
            <w:gridSpan w:val="3"/>
            <w:tcBorders>
              <w:top w:val="nil"/>
              <w:left w:val="single" w:color="000000" w:sz="4" w:space="0"/>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2299901</w:t>
            </w:r>
          </w:p>
        </w:tc>
        <w:tc>
          <w:tcPr>
            <w:tcW w:w="1210" w:type="pct"/>
            <w:tcBorders>
              <w:top w:val="nil"/>
              <w:left w:val="nil"/>
              <w:bottom w:val="nil"/>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其他支出</w:t>
            </w:r>
          </w:p>
        </w:tc>
        <w:tc>
          <w:tcPr>
            <w:tcW w:w="563"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563"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563"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63"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4989" w:type="pct"/>
            <w:gridSpan w:val="10"/>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jc w:val="left"/>
              <w:rPr>
                <w:rFonts w:cs="Arial"/>
                <w:color w:val="000000"/>
                <w:sz w:val="20"/>
              </w:rPr>
            </w:pPr>
            <w:r>
              <w:rPr>
                <w:rFonts w:hint="eastAsia" w:cs="Arial"/>
                <w:color w:val="000000"/>
                <w:sz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1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2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4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210" w:type="pct"/>
            <w:tcBorders>
              <w:top w:val="nil"/>
              <w:left w:val="nil"/>
              <w:bottom w:val="nil"/>
              <w:right w:val="nil"/>
            </w:tcBorders>
            <w:shd w:val="clear" w:color="000000" w:fill="FFFFFF"/>
            <w:vAlign w:val="bottom"/>
          </w:tcPr>
          <w:p>
            <w:pPr>
              <w:spacing w:line="200" w:lineRule="auto"/>
              <w:ind w:firstLine="0"/>
              <w:rPr>
                <w:rFonts w:ascii="Arial" w:hAnsi="Arial" w:cs="Arial"/>
                <w:color w:val="000000"/>
                <w:sz w:val="20"/>
              </w:rPr>
            </w:pPr>
            <w:r>
              <w:rPr>
                <w:rFonts w:cs="Arial"/>
                <w:color w:val="000000"/>
                <w:sz w:val="22"/>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6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60" w:hRule="atLeast"/>
        </w:trPr>
        <w:tc>
          <w:tcPr>
            <w:tcW w:w="130"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124"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4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21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6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6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63"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56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6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6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1"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财政拨款收入支出决算总表</w:t>
      </w:r>
    </w:p>
    <w:tbl>
      <w:tblPr>
        <w:tblStyle w:val="6"/>
        <w:tblW w:w="5000" w:type="pct"/>
        <w:tblInd w:w="0" w:type="dxa"/>
        <w:tblLayout w:type="autofit"/>
        <w:tblCellMar>
          <w:top w:w="0" w:type="dxa"/>
          <w:left w:w="108" w:type="dxa"/>
          <w:bottom w:w="0" w:type="dxa"/>
          <w:right w:w="108" w:type="dxa"/>
        </w:tblCellMar>
      </w:tblPr>
      <w:tblGrid>
        <w:gridCol w:w="3736"/>
        <w:gridCol w:w="1326"/>
        <w:gridCol w:w="3516"/>
        <w:gridCol w:w="1326"/>
        <w:gridCol w:w="1326"/>
        <w:gridCol w:w="1327"/>
        <w:gridCol w:w="1617"/>
      </w:tblGrid>
      <w:tr>
        <w:tblPrEx>
          <w:tblCellMar>
            <w:top w:w="0" w:type="dxa"/>
            <w:left w:w="108" w:type="dxa"/>
            <w:bottom w:w="0" w:type="dxa"/>
            <w:right w:w="108" w:type="dxa"/>
          </w:tblCellMar>
        </w:tblPrEx>
        <w:trPr>
          <w:trHeight w:val="300" w:hRule="atLeast"/>
        </w:trPr>
        <w:tc>
          <w:tcPr>
            <w:tcW w:w="1150"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20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4"/>
                <w:szCs w:val="24"/>
              </w:rPr>
            </w:pPr>
            <w:r>
              <w:rPr>
                <w:rFonts w:hint="eastAsia" w:cs="Arial"/>
                <w:color w:val="000000"/>
                <w:sz w:val="20"/>
              </w:rPr>
              <w:t>公开04表</w:t>
            </w:r>
          </w:p>
        </w:tc>
      </w:tr>
      <w:tr>
        <w:tblPrEx>
          <w:tblCellMar>
            <w:top w:w="0" w:type="dxa"/>
            <w:left w:w="108" w:type="dxa"/>
            <w:bottom w:w="0" w:type="dxa"/>
            <w:right w:w="108" w:type="dxa"/>
          </w:tblCellMar>
        </w:tblPrEx>
        <w:trPr>
          <w:trHeight w:val="300" w:hRule="atLeast"/>
        </w:trPr>
        <w:tc>
          <w:tcPr>
            <w:tcW w:w="1680" w:type="pct"/>
            <w:gridSpan w:val="2"/>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rPr>
            </w:pPr>
            <w:r>
              <w:rPr>
                <w:rFonts w:hint="eastAsia" w:cs="Arial"/>
                <w:color w:val="000000"/>
                <w:sz w:val="20"/>
              </w:rPr>
              <w:t>部门名称:南京市雨花台区文旅局</w:t>
            </w:r>
          </w:p>
        </w:tc>
        <w:tc>
          <w:tcPr>
            <w:tcW w:w="1200" w:type="pct"/>
            <w:tcBorders>
              <w:top w:val="nil"/>
              <w:left w:val="nil"/>
              <w:bottom w:val="nil"/>
              <w:right w:val="nil"/>
            </w:tcBorders>
            <w:shd w:val="clear" w:color="000000" w:fill="FFFFFF"/>
            <w:noWrap/>
            <w:vAlign w:val="bottom"/>
          </w:tcPr>
          <w:p>
            <w:pPr>
              <w:spacing w:line="200" w:lineRule="auto"/>
              <w:ind w:firstLine="0"/>
              <w:jc w:val="center"/>
              <w:rPr>
                <w:rFonts w:cs="Arial"/>
                <w:color w:val="000000"/>
              </w:rPr>
            </w:pPr>
            <w:r>
              <w:rPr>
                <w:rFonts w:hint="eastAsia"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30"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4"/>
                <w:szCs w:val="24"/>
              </w:rPr>
            </w:pPr>
            <w:r>
              <w:rPr>
                <w:rFonts w:hint="eastAsia" w:cs="Arial"/>
                <w:color w:val="000000"/>
                <w:sz w:val="20"/>
              </w:rPr>
              <w:t>金额单位：万元</w:t>
            </w:r>
          </w:p>
        </w:tc>
      </w:tr>
      <w:tr>
        <w:tblPrEx>
          <w:tblCellMar>
            <w:top w:w="0" w:type="dxa"/>
            <w:left w:w="108" w:type="dxa"/>
            <w:bottom w:w="0" w:type="dxa"/>
            <w:right w:w="108" w:type="dxa"/>
          </w:tblCellMar>
        </w:tblPrEx>
        <w:trPr>
          <w:trHeight w:val="308" w:hRule="atLeast"/>
        </w:trPr>
        <w:tc>
          <w:tcPr>
            <w:tcW w:w="1680" w:type="pct"/>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收</w:t>
            </w:r>
            <w:r>
              <w:rPr>
                <w:rFonts w:hint="eastAsia" w:cs="Arial"/>
                <w:color w:val="FF0000"/>
                <w:sz w:val="22"/>
                <w:szCs w:val="22"/>
              </w:rPr>
              <w:t xml:space="preserve">   </w:t>
            </w:r>
            <w:r>
              <w:rPr>
                <w:rFonts w:hint="eastAsia" w:cs="Arial"/>
                <w:color w:val="000000"/>
                <w:sz w:val="22"/>
                <w:szCs w:val="22"/>
              </w:rPr>
              <w:t xml:space="preserve">  入</w:t>
            </w:r>
          </w:p>
        </w:tc>
        <w:tc>
          <w:tcPr>
            <w:tcW w:w="3320" w:type="pct"/>
            <w:gridSpan w:val="5"/>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支</w:t>
            </w:r>
            <w:r>
              <w:rPr>
                <w:rFonts w:hint="eastAsia" w:cs="Arial"/>
                <w:color w:val="FF0000"/>
                <w:sz w:val="22"/>
                <w:szCs w:val="22"/>
              </w:rPr>
              <w:t xml:space="preserve">   </w:t>
            </w:r>
            <w:r>
              <w:rPr>
                <w:rFonts w:hint="eastAsia" w:cs="Arial"/>
                <w:color w:val="000000"/>
                <w:sz w:val="22"/>
                <w:szCs w:val="22"/>
              </w:rPr>
              <w:t xml:space="preserve">  出</w:t>
            </w:r>
          </w:p>
        </w:tc>
      </w:tr>
      <w:tr>
        <w:tblPrEx>
          <w:tblCellMar>
            <w:top w:w="0" w:type="dxa"/>
            <w:left w:w="108" w:type="dxa"/>
            <w:bottom w:w="0" w:type="dxa"/>
            <w:right w:w="108" w:type="dxa"/>
          </w:tblCellMar>
        </w:tblPrEx>
        <w:trPr>
          <w:trHeight w:val="308" w:hRule="atLeast"/>
        </w:trPr>
        <w:tc>
          <w:tcPr>
            <w:tcW w:w="1150" w:type="pct"/>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项</w:t>
            </w:r>
            <w:r>
              <w:rPr>
                <w:rFonts w:hint="eastAsia" w:cs="Arial"/>
                <w:color w:val="FF0000"/>
                <w:sz w:val="22"/>
                <w:szCs w:val="22"/>
              </w:rPr>
              <w:t xml:space="preserve">   </w:t>
            </w:r>
            <w:r>
              <w:rPr>
                <w:rFonts w:hint="eastAsia" w:cs="Arial"/>
                <w:color w:val="000000"/>
                <w:sz w:val="22"/>
                <w:szCs w:val="22"/>
              </w:rPr>
              <w:t xml:space="preserve"> 目</w:t>
            </w:r>
          </w:p>
        </w:tc>
        <w:tc>
          <w:tcPr>
            <w:tcW w:w="530"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决算数</w:t>
            </w:r>
          </w:p>
        </w:tc>
        <w:tc>
          <w:tcPr>
            <w:tcW w:w="1200"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按功能分类</w:t>
            </w:r>
          </w:p>
        </w:tc>
        <w:tc>
          <w:tcPr>
            <w:tcW w:w="2121" w:type="pct"/>
            <w:gridSpan w:val="4"/>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决算数</w:t>
            </w:r>
          </w:p>
        </w:tc>
      </w:tr>
      <w:tr>
        <w:tblPrEx>
          <w:tblCellMar>
            <w:top w:w="0" w:type="dxa"/>
            <w:left w:w="108" w:type="dxa"/>
            <w:bottom w:w="0" w:type="dxa"/>
            <w:right w:w="108" w:type="dxa"/>
          </w:tblCellMar>
        </w:tblPrEx>
        <w:trPr>
          <w:trHeight w:val="723" w:hRule="atLeast"/>
        </w:trPr>
        <w:tc>
          <w:tcPr>
            <w:tcW w:w="1150"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530"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1200"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3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小计</w:t>
            </w:r>
          </w:p>
        </w:tc>
        <w:tc>
          <w:tcPr>
            <w:tcW w:w="530" w:type="pc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一般公共预算财政拨款</w:t>
            </w:r>
          </w:p>
        </w:tc>
        <w:tc>
          <w:tcPr>
            <w:tcW w:w="530" w:type="pc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政府性基金预算财政拨款</w:t>
            </w:r>
          </w:p>
        </w:tc>
        <w:tc>
          <w:tcPr>
            <w:tcW w:w="530" w:type="pc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国有资本经营预算财政拨款</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一、一般公共预算财政拨款收入</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4774.49</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一、一般公共服务支出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二、政府性基金预算财政拨款收入</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二、外交支出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三、国有资本经营预算财政拨款收入</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三、国防支出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四、公共安全支出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五、教育支出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六、科学技术支出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七、文化旅游体育与传媒支出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3621.89</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3621.89</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八、社会保障和就业支出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233.20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233.20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九、卫生健康支出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十、节能环保支出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十一、城乡社区支出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十二、农林水支出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十三、交通运输支出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十四、资源勘探工业信息等支出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十五、商业服务业等支出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十六、金融支出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十七、援助其他地区支出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十八、自然资源海洋气象等支出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十九、住房保障支出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二十、粮油物资储备支出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二十一、国有资本经营预算支出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二十二、灾害防治及应急管理支出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二十三、其他支出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60.39</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二十四、债务还本支出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二十五、债务付息支出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二十六、抗疫特别国债安排的支出</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本年收入合计</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4820.49</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本年支出合计</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4840.13</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4799.13</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年初财政拨款结转和结余</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406.27</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年末财政拨款结转和结余</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386.63</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381.63</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一、一般公共预算财政拨款</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406.27</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二、政府性基金预算财政拨款</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三、国有资本经营预算财政拨款</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8" w:hRule="atLeast"/>
        </w:trPr>
        <w:tc>
          <w:tcPr>
            <w:tcW w:w="115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总计</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5226.76</w:t>
            </w:r>
          </w:p>
        </w:tc>
        <w:tc>
          <w:tcPr>
            <w:tcW w:w="120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总计</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5226.76</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5180.76</w:t>
            </w:r>
          </w:p>
        </w:tc>
        <w:tc>
          <w:tcPr>
            <w:tcW w:w="53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530" w:type="pct"/>
            <w:tcBorders>
              <w:top w:val="nil"/>
              <w:left w:val="nil"/>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250" w:hRule="atLeast"/>
        </w:trPr>
        <w:tc>
          <w:tcPr>
            <w:tcW w:w="1150"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20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3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300" w:hRule="atLeast"/>
        </w:trPr>
        <w:tc>
          <w:tcPr>
            <w:tcW w:w="1150"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53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20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30"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53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3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3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财政拨款支出决算表（功能科目）</w:t>
      </w:r>
    </w:p>
    <w:tbl>
      <w:tblPr>
        <w:tblStyle w:val="6"/>
        <w:tblW w:w="5000" w:type="pct"/>
        <w:tblInd w:w="0" w:type="dxa"/>
        <w:tblLayout w:type="autofit"/>
        <w:tblCellMar>
          <w:top w:w="0" w:type="dxa"/>
          <w:left w:w="108" w:type="dxa"/>
          <w:bottom w:w="0" w:type="dxa"/>
          <w:right w:w="108" w:type="dxa"/>
        </w:tblCellMar>
      </w:tblPr>
      <w:tblGrid>
        <w:gridCol w:w="611"/>
        <w:gridCol w:w="564"/>
        <w:gridCol w:w="496"/>
        <w:gridCol w:w="4841"/>
        <w:gridCol w:w="2480"/>
        <w:gridCol w:w="2480"/>
        <w:gridCol w:w="2480"/>
        <w:gridCol w:w="222"/>
      </w:tblGrid>
      <w:tr>
        <w:tblPrEx>
          <w:tblCellMar>
            <w:top w:w="0" w:type="dxa"/>
            <w:left w:w="108" w:type="dxa"/>
            <w:bottom w:w="0" w:type="dxa"/>
            <w:right w:w="108" w:type="dxa"/>
          </w:tblCellMar>
        </w:tblPrEx>
        <w:trPr>
          <w:gridAfter w:val="1"/>
          <w:wAfter w:w="15" w:type="pct"/>
          <w:trHeight w:val="260" w:hRule="atLeast"/>
        </w:trPr>
        <w:tc>
          <w:tcPr>
            <w:tcW w:w="225"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20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8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71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84"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公开05表</w:t>
            </w:r>
          </w:p>
        </w:tc>
      </w:tr>
      <w:tr>
        <w:tblPrEx>
          <w:tblCellMar>
            <w:top w:w="0" w:type="dxa"/>
            <w:left w:w="108" w:type="dxa"/>
            <w:bottom w:w="0" w:type="dxa"/>
            <w:right w:w="108" w:type="dxa"/>
          </w:tblCellMar>
        </w:tblPrEx>
        <w:trPr>
          <w:gridAfter w:val="1"/>
          <w:wAfter w:w="15" w:type="pct"/>
          <w:trHeight w:val="260" w:hRule="atLeast"/>
        </w:trPr>
        <w:tc>
          <w:tcPr>
            <w:tcW w:w="2334" w:type="pct"/>
            <w:gridSpan w:val="4"/>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884" w:type="pct"/>
            <w:tcBorders>
              <w:top w:val="nil"/>
              <w:left w:val="nil"/>
              <w:bottom w:val="nil"/>
              <w:right w:val="nil"/>
            </w:tcBorders>
            <w:shd w:val="clear" w:color="000000" w:fill="FFFFFF"/>
            <w:noWrap/>
            <w:vAlign w:val="bottom"/>
          </w:tcPr>
          <w:p>
            <w:pPr>
              <w:spacing w:line="200" w:lineRule="auto"/>
              <w:ind w:firstLine="0"/>
              <w:jc w:val="center"/>
              <w:rPr>
                <w:rFonts w:cs="Arial"/>
                <w:color w:val="000000"/>
                <w:sz w:val="20"/>
              </w:rPr>
            </w:pPr>
            <w:r>
              <w:rPr>
                <w:rFonts w:hint="eastAsia" w:cs="Arial"/>
                <w:color w:val="000000"/>
                <w:sz w:val="20"/>
              </w:rPr>
              <w:t>　</w:t>
            </w:r>
          </w:p>
        </w:tc>
        <w:tc>
          <w:tcPr>
            <w:tcW w:w="884"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884"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15" w:type="pct"/>
          <w:trHeight w:val="308" w:hRule="atLeast"/>
        </w:trPr>
        <w:tc>
          <w:tcPr>
            <w:tcW w:w="233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884"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本年支出合计</w:t>
            </w:r>
          </w:p>
        </w:tc>
        <w:tc>
          <w:tcPr>
            <w:tcW w:w="884"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基本支出</w:t>
            </w:r>
          </w:p>
        </w:tc>
        <w:tc>
          <w:tcPr>
            <w:tcW w:w="884"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项目支出</w:t>
            </w:r>
          </w:p>
        </w:tc>
      </w:tr>
      <w:tr>
        <w:tblPrEx>
          <w:tblCellMar>
            <w:top w:w="0" w:type="dxa"/>
            <w:left w:w="108" w:type="dxa"/>
            <w:bottom w:w="0" w:type="dxa"/>
            <w:right w:w="108" w:type="dxa"/>
          </w:tblCellMar>
        </w:tblPrEx>
        <w:trPr>
          <w:gridAfter w:val="1"/>
          <w:wAfter w:w="15" w:type="pct"/>
          <w:trHeight w:val="624" w:hRule="atLeast"/>
        </w:trPr>
        <w:tc>
          <w:tcPr>
            <w:tcW w:w="617"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功能分类科目编码</w:t>
            </w:r>
          </w:p>
        </w:tc>
        <w:tc>
          <w:tcPr>
            <w:tcW w:w="1717"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308" w:hRule="atLeast"/>
        </w:trPr>
        <w:tc>
          <w:tcPr>
            <w:tcW w:w="617"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717"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5"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08" w:hRule="atLeast"/>
        </w:trPr>
        <w:tc>
          <w:tcPr>
            <w:tcW w:w="617"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717"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84"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5"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2334" w:type="pct"/>
            <w:gridSpan w:val="4"/>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栏次</w:t>
            </w:r>
          </w:p>
        </w:tc>
        <w:tc>
          <w:tcPr>
            <w:tcW w:w="884"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1</w:t>
            </w:r>
          </w:p>
        </w:tc>
        <w:tc>
          <w:tcPr>
            <w:tcW w:w="884"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2</w:t>
            </w:r>
          </w:p>
        </w:tc>
        <w:tc>
          <w:tcPr>
            <w:tcW w:w="884"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334" w:type="pct"/>
            <w:gridSpan w:val="4"/>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4840.13</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2531.18</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2308.95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科学技术支出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社会科学</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2060603</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社科基金支出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文化旅游体育与传媒支出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3621.89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1657.54</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1964.35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文化和旅游</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2312.95</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1230.07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1082.88</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行政运行</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944.77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944.77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2070104</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图书馆</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296.63</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111.74</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184.89</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2070105</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文化展示及纪念机构</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129.08</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129.08</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2070108</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文化活动</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421.02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421.02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群众文化</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220.39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173.56</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46.83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文化创作与保护</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13.90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13.90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2070113</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旅游宣传</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其他文化和旅游支出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257.16</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257.16</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文物</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75.37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26.62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48.75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其他文物支出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75.37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26.62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48.75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体育</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907.87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93.04</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814.83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2070305</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体育竞赛</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197.41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197.41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2070306</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体育训练</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84.13</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84.13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2070307</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体育场馆</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89.23</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89.23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2070308</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群众体育</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376.32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376.32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其他体育支出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160.78</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93.04</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67.74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广播电视</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2070804</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广播</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其他文化旅游体育与传媒支出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17.89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17.89</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2079903</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文化产业发展专项支出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7.89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7.89</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其他文化旅游体育与传媒支出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社会保障和就业支出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233.20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233.17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人力资源和社会保障管理事务</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2080102</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一般行政管理事务</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行政事业单位养老支出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220.82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220.82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行政单位离退休</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97.10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97.10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2080502</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事业单位离退休</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123.72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123.72</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其他社会保障和就业支出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其他社会保障和就业支出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城乡社区支出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其他城乡社区支出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2129901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其他城乡社区支出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住房保障支出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住房改革支出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2210201</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住房公积金</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2210202</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提租补贴</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2210203</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购房补贴</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60.39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60.39</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22960</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彩票公益金安排的支出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2296003</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用于体育事业的彩票公益金支出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w:t>
            </w:r>
          </w:p>
        </w:tc>
        <w:tc>
          <w:tcPr>
            <w:tcW w:w="1717"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617" w:type="pct"/>
            <w:gridSpan w:val="3"/>
            <w:tcBorders>
              <w:top w:val="nil"/>
              <w:left w:val="single" w:color="000000" w:sz="4" w:space="0"/>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2299901</w:t>
            </w:r>
          </w:p>
        </w:tc>
        <w:tc>
          <w:tcPr>
            <w:tcW w:w="1717" w:type="pct"/>
            <w:tcBorders>
              <w:top w:val="nil"/>
              <w:left w:val="nil"/>
              <w:bottom w:val="nil"/>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其他支出</w:t>
            </w:r>
          </w:p>
        </w:tc>
        <w:tc>
          <w:tcPr>
            <w:tcW w:w="884"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884"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84"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615" w:hRule="atLeast"/>
        </w:trPr>
        <w:tc>
          <w:tcPr>
            <w:tcW w:w="4985" w:type="pct"/>
            <w:gridSpan w:val="7"/>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jc w:val="left"/>
              <w:rPr>
                <w:rFonts w:cs="Arial"/>
                <w:color w:val="000000"/>
                <w:sz w:val="20"/>
              </w:rPr>
            </w:pPr>
            <w:r>
              <w:rPr>
                <w:rFonts w:hint="eastAsia" w:cs="Arial"/>
                <w:color w:val="000000"/>
                <w:sz w:val="22"/>
              </w:rPr>
              <w:t>注：1、本表反映部门本年度按功能分类财政拨款实际支出情况。财政拨款指一般公共预算财政拨款、政府性基金预算财政拨款和国有资本经营预算财政拨款。</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4985" w:type="pct"/>
            <w:gridSpan w:val="7"/>
            <w:tcBorders>
              <w:top w:val="nil"/>
              <w:left w:val="nil"/>
              <w:bottom w:val="nil"/>
              <w:right w:val="nil"/>
            </w:tcBorders>
            <w:shd w:val="clear" w:color="000000" w:fill="FFFFFF"/>
            <w:vAlign w:val="center"/>
          </w:tcPr>
          <w:p>
            <w:pPr>
              <w:spacing w:line="200" w:lineRule="auto"/>
              <w:ind w:firstLine="0"/>
              <w:rPr>
                <w:rFonts w:cs="Arial"/>
                <w:color w:val="000000"/>
                <w:sz w:val="20"/>
              </w:rPr>
            </w:pPr>
            <w:r>
              <w:rPr>
                <w:rFonts w:hint="eastAsia" w:cs="Arial"/>
                <w:color w:val="000000"/>
                <w:sz w:val="22"/>
              </w:rPr>
              <w:t>　</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22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20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8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71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60" w:hRule="atLeast"/>
        </w:trPr>
        <w:tc>
          <w:tcPr>
            <w:tcW w:w="225"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20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8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71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884"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884"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884"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5"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财政拨款基本支出决算表（经济科目）</w:t>
      </w:r>
    </w:p>
    <w:tbl>
      <w:tblPr>
        <w:tblStyle w:val="6"/>
        <w:tblW w:w="5000" w:type="pct"/>
        <w:tblInd w:w="0" w:type="dxa"/>
        <w:tblLayout w:type="autofit"/>
        <w:tblCellMar>
          <w:top w:w="0" w:type="dxa"/>
          <w:left w:w="108" w:type="dxa"/>
          <w:bottom w:w="0" w:type="dxa"/>
          <w:right w:w="108" w:type="dxa"/>
        </w:tblCellMar>
      </w:tblPr>
      <w:tblGrid>
        <w:gridCol w:w="2047"/>
        <w:gridCol w:w="5485"/>
        <w:gridCol w:w="2140"/>
        <w:gridCol w:w="2140"/>
        <w:gridCol w:w="2140"/>
        <w:gridCol w:w="222"/>
      </w:tblGrid>
      <w:tr>
        <w:tblPrEx>
          <w:tblCellMar>
            <w:top w:w="0" w:type="dxa"/>
            <w:left w:w="108" w:type="dxa"/>
            <w:bottom w:w="0" w:type="dxa"/>
            <w:right w:w="108" w:type="dxa"/>
          </w:tblCellMar>
        </w:tblPrEx>
        <w:trPr>
          <w:gridAfter w:val="1"/>
          <w:wAfter w:w="15" w:type="pct"/>
          <w:trHeight w:val="260" w:hRule="atLeast"/>
        </w:trPr>
        <w:tc>
          <w:tcPr>
            <w:tcW w:w="735"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19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公开06表</w:t>
            </w:r>
          </w:p>
        </w:tc>
      </w:tr>
      <w:tr>
        <w:tblPrEx>
          <w:tblCellMar>
            <w:top w:w="0" w:type="dxa"/>
            <w:left w:w="108" w:type="dxa"/>
            <w:bottom w:w="0" w:type="dxa"/>
            <w:right w:w="108" w:type="dxa"/>
          </w:tblCellMar>
        </w:tblPrEx>
        <w:trPr>
          <w:gridAfter w:val="1"/>
          <w:wAfter w:w="15" w:type="pct"/>
          <w:trHeight w:val="260" w:hRule="atLeast"/>
        </w:trPr>
        <w:tc>
          <w:tcPr>
            <w:tcW w:w="2683" w:type="pct"/>
            <w:gridSpan w:val="2"/>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15" w:type="pct"/>
          <w:trHeight w:val="415" w:hRule="atLeast"/>
        </w:trPr>
        <w:tc>
          <w:tcPr>
            <w:tcW w:w="26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2303" w:type="pct"/>
            <w:gridSpan w:val="3"/>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财政拨款基本支出</w:t>
            </w:r>
          </w:p>
        </w:tc>
      </w:tr>
      <w:tr>
        <w:tblPrEx>
          <w:tblCellMar>
            <w:top w:w="0" w:type="dxa"/>
            <w:left w:w="108" w:type="dxa"/>
            <w:bottom w:w="0" w:type="dxa"/>
            <w:right w:w="108" w:type="dxa"/>
          </w:tblCellMar>
        </w:tblPrEx>
        <w:trPr>
          <w:gridAfter w:val="1"/>
          <w:wAfter w:w="15" w:type="pct"/>
          <w:trHeight w:val="624" w:hRule="atLeast"/>
        </w:trPr>
        <w:tc>
          <w:tcPr>
            <w:tcW w:w="735" w:type="pct"/>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经济分类科目编码</w:t>
            </w:r>
          </w:p>
        </w:tc>
        <w:tc>
          <w:tcPr>
            <w:tcW w:w="1947"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768"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768"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人员经费</w:t>
            </w:r>
          </w:p>
        </w:tc>
        <w:tc>
          <w:tcPr>
            <w:tcW w:w="768"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公用经费</w:t>
            </w:r>
          </w:p>
        </w:tc>
      </w:tr>
      <w:tr>
        <w:tblPrEx>
          <w:tblCellMar>
            <w:top w:w="0" w:type="dxa"/>
            <w:left w:w="108" w:type="dxa"/>
            <w:bottom w:w="0" w:type="dxa"/>
            <w:right w:w="108" w:type="dxa"/>
          </w:tblCellMar>
        </w:tblPrEx>
        <w:trPr>
          <w:trHeight w:val="308" w:hRule="atLeast"/>
        </w:trPr>
        <w:tc>
          <w:tcPr>
            <w:tcW w:w="735"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947"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15"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08" w:hRule="atLeast"/>
        </w:trPr>
        <w:tc>
          <w:tcPr>
            <w:tcW w:w="735"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947"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15"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2683" w:type="pct"/>
            <w:gridSpan w:val="2"/>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b/>
                <w:bCs/>
                <w:color w:val="000000"/>
                <w:sz w:val="22"/>
                <w:szCs w:val="22"/>
              </w:rPr>
            </w:pPr>
            <w:r>
              <w:rPr>
                <w:rFonts w:hint="eastAsia" w:cs="Arial"/>
                <w:b/>
                <w:bCs/>
                <w:color w:val="000000"/>
                <w:sz w:val="22"/>
                <w:szCs w:val="22"/>
              </w:rPr>
              <w:t>合计</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2531.18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2392.92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138.26</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 xml:space="preserve"> 工资福利支出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2113.36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2113.36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基本工资</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298.00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298.00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津贴补贴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807.42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807.42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奖金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307.01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307.01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伙食补助费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0.91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0.91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绩效工资</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143.75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143.75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机关事业单位基本养老保险缴费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149.48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149.48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职业年金缴费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68.75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68.75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职工基本医疗保险缴费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99.31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99.31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93"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公务员医疗补助缴费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其他社会保障缴费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住房公积金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208.34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208.34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医疗费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其他工资福利支出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17.71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17.71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商品和服务支出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134.52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134.52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办公费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34.57</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34.57</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印刷费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5.32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5.32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咨询费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手续费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电费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0.41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0.41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邮电费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取暖费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物业管理费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0.07</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0.07</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差旅费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因公出国（境）费用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维修（护）费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5.55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5.55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租赁费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会议费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培训费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公务接待费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专用材料费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被装购置费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专用燃料费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劳务费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委托业务费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3.10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3.10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工会经费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福利费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30231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公务用车运行维护费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30239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其他交通费用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56.62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56.62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30240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税金及附加费用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其他商品和服务支出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0.30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0.30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对个人和家庭的补助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279.56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279.56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离休费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6.99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6.99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退休费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256.06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256.06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退职（役）费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抚恤金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生活补助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救济费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医疗费补助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助学金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奖励金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个人农业生产补贴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代缴社会保险费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其他对个人和家庭的补助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债务利息及费用支出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国内债务付息</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国外债务付息</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国内债务发行费用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国外债务发行费用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资本性支出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房屋建筑物购建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办公设备购置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专用设备购置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基础设施建设</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大型修缮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信息网络及软件购置更新</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物资储备</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土地补偿</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安置补助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地上附着物和青苗补偿</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拆迁补偿</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公务用车购置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其他交通工具购置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31021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文物和陈列品购置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31022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无形资产购置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其他资本性支出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对企业补助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资本金注入</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政府投资基金股权投资</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费用补贴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利息补贴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其他对企业补助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其他支出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赠与</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国家赔偿费用支出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对民间非营利组织和群众性自治组织补贴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nil"/>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39999</w:t>
            </w:r>
          </w:p>
        </w:tc>
        <w:tc>
          <w:tcPr>
            <w:tcW w:w="1947" w:type="pct"/>
            <w:tcBorders>
              <w:top w:val="nil"/>
              <w:left w:val="nil"/>
              <w:bottom w:val="nil"/>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其他支出</w:t>
            </w:r>
          </w:p>
        </w:tc>
        <w:tc>
          <w:tcPr>
            <w:tcW w:w="768"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585" w:hRule="atLeast"/>
        </w:trPr>
        <w:tc>
          <w:tcPr>
            <w:tcW w:w="4985" w:type="pct"/>
            <w:gridSpan w:val="5"/>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jc w:val="left"/>
              <w:rPr>
                <w:rFonts w:cs="Arial"/>
                <w:color w:val="000000"/>
                <w:sz w:val="20"/>
              </w:rPr>
            </w:pPr>
            <w:r>
              <w:rPr>
                <w:rFonts w:hint="eastAsia" w:cs="Arial"/>
                <w:color w:val="000000"/>
                <w:sz w:val="22"/>
              </w:rPr>
              <w:t>注：1、本表反映部门本年度按经济分类财政拨款基本支出明细情况。财政拨款指一般公共预算财政拨款、政府性基金预算财政拨款和国有资本经营预算财政拨款。</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4985" w:type="pct"/>
            <w:gridSpan w:val="5"/>
            <w:tcBorders>
              <w:top w:val="nil"/>
              <w:left w:val="nil"/>
              <w:bottom w:val="nil"/>
              <w:right w:val="nil"/>
            </w:tcBorders>
            <w:shd w:val="clear" w:color="000000" w:fill="FFFFFF"/>
            <w:vAlign w:val="center"/>
          </w:tcPr>
          <w:p>
            <w:pPr>
              <w:spacing w:line="200" w:lineRule="auto"/>
              <w:ind w:firstLine="0"/>
              <w:rPr>
                <w:rFonts w:cs="Arial"/>
                <w:color w:val="000000"/>
                <w:sz w:val="20"/>
              </w:rPr>
            </w:pPr>
            <w:r>
              <w:rPr>
                <w:rFonts w:hint="eastAsia" w:cs="Arial"/>
                <w:color w:val="000000"/>
                <w:sz w:val="22"/>
              </w:rPr>
              <w:t>　</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73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9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60" w:hRule="atLeast"/>
        </w:trPr>
        <w:tc>
          <w:tcPr>
            <w:tcW w:w="735"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194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768"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76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76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5"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一般公共预算支出决算表（功能科目）</w:t>
      </w:r>
    </w:p>
    <w:tbl>
      <w:tblPr>
        <w:tblStyle w:val="6"/>
        <w:tblW w:w="5000" w:type="pct"/>
        <w:tblInd w:w="0" w:type="dxa"/>
        <w:tblLayout w:type="autofit"/>
        <w:tblCellMar>
          <w:top w:w="0" w:type="dxa"/>
          <w:left w:w="108" w:type="dxa"/>
          <w:bottom w:w="0" w:type="dxa"/>
          <w:right w:w="108" w:type="dxa"/>
        </w:tblCellMar>
      </w:tblPr>
      <w:tblGrid>
        <w:gridCol w:w="442"/>
        <w:gridCol w:w="442"/>
        <w:gridCol w:w="442"/>
        <w:gridCol w:w="5315"/>
        <w:gridCol w:w="2437"/>
        <w:gridCol w:w="2437"/>
        <w:gridCol w:w="2437"/>
        <w:gridCol w:w="222"/>
      </w:tblGrid>
      <w:tr>
        <w:tblPrEx>
          <w:tblCellMar>
            <w:top w:w="0" w:type="dxa"/>
            <w:left w:w="108" w:type="dxa"/>
            <w:bottom w:w="0" w:type="dxa"/>
            <w:right w:w="108" w:type="dxa"/>
          </w:tblCellMar>
        </w:tblPrEx>
        <w:trPr>
          <w:gridAfter w:val="1"/>
          <w:wAfter w:w="16" w:type="pct"/>
          <w:trHeight w:val="300" w:hRule="atLeast"/>
        </w:trPr>
        <w:tc>
          <w:tcPr>
            <w:tcW w:w="165"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16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6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6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6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869"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4"/>
                <w:szCs w:val="24"/>
              </w:rPr>
            </w:pPr>
            <w:r>
              <w:rPr>
                <w:rFonts w:hint="eastAsia" w:cs="Arial"/>
                <w:color w:val="000000"/>
                <w:sz w:val="20"/>
              </w:rPr>
              <w:t>公开07表</w:t>
            </w:r>
          </w:p>
        </w:tc>
      </w:tr>
      <w:tr>
        <w:tblPrEx>
          <w:tblCellMar>
            <w:top w:w="0" w:type="dxa"/>
            <w:left w:w="108" w:type="dxa"/>
            <w:bottom w:w="0" w:type="dxa"/>
            <w:right w:w="108" w:type="dxa"/>
          </w:tblCellMar>
        </w:tblPrEx>
        <w:trPr>
          <w:gridAfter w:val="1"/>
          <w:wAfter w:w="16" w:type="pct"/>
          <w:trHeight w:val="300" w:hRule="atLeast"/>
        </w:trPr>
        <w:tc>
          <w:tcPr>
            <w:tcW w:w="2377" w:type="pct"/>
            <w:gridSpan w:val="4"/>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rPr>
            </w:pPr>
            <w:r>
              <w:rPr>
                <w:rFonts w:hint="eastAsia" w:cs="Arial"/>
                <w:color w:val="000000"/>
                <w:sz w:val="20"/>
              </w:rPr>
              <w:t>部门名称:南京市雨花台区文旅局</w:t>
            </w:r>
          </w:p>
        </w:tc>
        <w:tc>
          <w:tcPr>
            <w:tcW w:w="869" w:type="pct"/>
            <w:tcBorders>
              <w:top w:val="nil"/>
              <w:left w:val="nil"/>
              <w:bottom w:val="nil"/>
              <w:right w:val="nil"/>
            </w:tcBorders>
            <w:shd w:val="clear" w:color="000000" w:fill="FFFFFF"/>
            <w:noWrap/>
            <w:vAlign w:val="bottom"/>
          </w:tcPr>
          <w:p>
            <w:pPr>
              <w:spacing w:line="200" w:lineRule="auto"/>
              <w:ind w:firstLine="0"/>
              <w:jc w:val="center"/>
              <w:rPr>
                <w:rFonts w:cs="Arial"/>
                <w:color w:val="000000"/>
              </w:rPr>
            </w:pPr>
            <w:r>
              <w:rPr>
                <w:rFonts w:hint="eastAsia" w:cs="Arial"/>
                <w:color w:val="000000"/>
                <w:sz w:val="20"/>
              </w:rPr>
              <w:t>　</w:t>
            </w:r>
          </w:p>
        </w:tc>
        <w:tc>
          <w:tcPr>
            <w:tcW w:w="869"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869"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4"/>
                <w:szCs w:val="24"/>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16" w:type="pct"/>
          <w:trHeight w:val="308" w:hRule="atLeast"/>
        </w:trPr>
        <w:tc>
          <w:tcPr>
            <w:tcW w:w="237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869"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本年支出合计</w:t>
            </w:r>
          </w:p>
        </w:tc>
        <w:tc>
          <w:tcPr>
            <w:tcW w:w="869"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基本支出</w:t>
            </w:r>
          </w:p>
        </w:tc>
        <w:tc>
          <w:tcPr>
            <w:tcW w:w="869"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项目支出</w:t>
            </w:r>
          </w:p>
        </w:tc>
      </w:tr>
      <w:tr>
        <w:tblPrEx>
          <w:tblCellMar>
            <w:top w:w="0" w:type="dxa"/>
            <w:left w:w="108" w:type="dxa"/>
            <w:bottom w:w="0" w:type="dxa"/>
            <w:right w:w="108" w:type="dxa"/>
          </w:tblCellMar>
        </w:tblPrEx>
        <w:trPr>
          <w:gridAfter w:val="1"/>
          <w:wAfter w:w="16" w:type="pct"/>
          <w:trHeight w:val="624" w:hRule="atLeast"/>
        </w:trPr>
        <w:tc>
          <w:tcPr>
            <w:tcW w:w="494"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功能分类科目编码</w:t>
            </w:r>
          </w:p>
        </w:tc>
        <w:tc>
          <w:tcPr>
            <w:tcW w:w="1884"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308" w:hRule="atLeast"/>
        </w:trPr>
        <w:tc>
          <w:tcPr>
            <w:tcW w:w="494"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884"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6"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08" w:hRule="atLeast"/>
        </w:trPr>
        <w:tc>
          <w:tcPr>
            <w:tcW w:w="494"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884"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86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6"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2377" w:type="pct"/>
            <w:gridSpan w:val="4"/>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栏次</w:t>
            </w:r>
          </w:p>
        </w:tc>
        <w:tc>
          <w:tcPr>
            <w:tcW w:w="86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1</w:t>
            </w:r>
          </w:p>
        </w:tc>
        <w:tc>
          <w:tcPr>
            <w:tcW w:w="86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2</w:t>
            </w:r>
          </w:p>
        </w:tc>
        <w:tc>
          <w:tcPr>
            <w:tcW w:w="86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2377" w:type="pct"/>
            <w:gridSpan w:val="4"/>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4799.13</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2531.18</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2267.95</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科学技术支出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社会科学</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2060603</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社科基金支出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文化旅游体育与传媒支出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3621.89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1657.54</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1964.35</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文化和旅游</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2312.95</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1230.07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1082.88</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行政运行</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944.77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944.77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2070104</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图书馆</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296.63</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111.74</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184.89</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2070105</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文化展示及纪念机构</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129.08</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129.08</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2070108</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文化活动</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421.02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421.02</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2070109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群众文化</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220.39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173.56</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46.83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文化创作与保护</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13.90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13.90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2070113</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旅游宣传</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2070199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其他文化和旅游支出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257.16</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257.16</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文物</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75.37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26.62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48.75</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2070299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其他文物支出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75.37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26.62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48.75</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体育</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907.87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93.04</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814.83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2070305</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体育竞赛</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197.41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197.41</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2070306</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体育训练</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84.13</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84.13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2070307</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体育场馆</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89.23</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89.23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2070308</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群众体育</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376.32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376.32</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2070399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其他体育支出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160.78</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93.04</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67.74</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广播电视</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2070804</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广播</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307.81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其他文化旅游体育与传媒支出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17.89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17.89</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2079903</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文化产业发展专项支出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7.89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7.89</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2079999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其他文化旅游体育与传媒支出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社会保障和就业支出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233.20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233.17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人力资源和社会保障管理事务</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2080102</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一般行政管理事务</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0.03</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行政事业单位养老支出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220.82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220.82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行政单位离退休</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97.10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97.10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2080502</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事业单位离退休</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123.72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123.72</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其他社会保障和就业支出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2089901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其他社会保障和就业支出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城乡社区支出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其他城乡社区支出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2129901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其他城乡社区支出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280.18</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住房保障支出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住房改革支出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640.47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2210201</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住房公积金</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200.69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2210202</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提租补贴</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348.91</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2210203</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购房补贴</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90.87</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w:t>
            </w:r>
          </w:p>
        </w:tc>
        <w:tc>
          <w:tcPr>
            <w:tcW w:w="188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94" w:type="pct"/>
            <w:gridSpan w:val="3"/>
            <w:tcBorders>
              <w:top w:val="nil"/>
              <w:left w:val="single" w:color="000000" w:sz="4" w:space="0"/>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2299901</w:t>
            </w:r>
          </w:p>
        </w:tc>
        <w:tc>
          <w:tcPr>
            <w:tcW w:w="1884" w:type="pct"/>
            <w:tcBorders>
              <w:top w:val="nil"/>
              <w:left w:val="nil"/>
              <w:bottom w:val="nil"/>
              <w:right w:val="single" w:color="000000" w:sz="4" w:space="0"/>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其他支出</w:t>
            </w:r>
          </w:p>
        </w:tc>
        <w:tc>
          <w:tcPr>
            <w:tcW w:w="869"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869"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869"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19.39</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415" w:hRule="atLeast"/>
        </w:trPr>
        <w:tc>
          <w:tcPr>
            <w:tcW w:w="4984" w:type="pct"/>
            <w:gridSpan w:val="7"/>
            <w:tcBorders>
              <w:top w:val="single" w:color="000000" w:sz="4" w:space="0"/>
              <w:left w:val="single" w:color="FFFFFF" w:sz="4" w:space="0"/>
              <w:bottom w:val="single" w:color="FFFFFF" w:sz="4" w:space="0"/>
              <w:right w:val="single" w:color="FFFFFF" w:sz="4" w:space="0"/>
            </w:tcBorders>
            <w:shd w:val="clear" w:color="000000" w:fill="FFFFFF"/>
            <w:noWrap/>
            <w:vAlign w:val="center"/>
          </w:tcPr>
          <w:p>
            <w:pPr>
              <w:spacing w:line="200" w:lineRule="auto"/>
              <w:ind w:firstLine="0"/>
              <w:jc w:val="left"/>
              <w:rPr>
                <w:rFonts w:cs="Arial"/>
                <w:color w:val="000000"/>
                <w:sz w:val="18"/>
                <w:szCs w:val="18"/>
              </w:rPr>
            </w:pPr>
            <w:r>
              <w:rPr>
                <w:rFonts w:hint="eastAsia" w:cs="Arial"/>
                <w:color w:val="000000"/>
                <w:sz w:val="22"/>
                <w:szCs w:val="18"/>
              </w:rPr>
              <w:t>注：1、本表反映部门本年度按功能分类一般公共预算财政拨款实际支出情况。</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4984" w:type="pct"/>
            <w:gridSpan w:val="7"/>
            <w:tcBorders>
              <w:top w:val="nil"/>
              <w:left w:val="nil"/>
              <w:bottom w:val="nil"/>
              <w:right w:val="nil"/>
            </w:tcBorders>
            <w:shd w:val="clear" w:color="000000" w:fill="FFFFFF"/>
            <w:vAlign w:val="center"/>
          </w:tcPr>
          <w:p>
            <w:pPr>
              <w:spacing w:line="200" w:lineRule="auto"/>
              <w:ind w:firstLine="0"/>
              <w:rPr>
                <w:rFonts w:cs="Arial"/>
                <w:color w:val="000000"/>
                <w:sz w:val="18"/>
                <w:szCs w:val="18"/>
              </w:rPr>
            </w:pPr>
            <w:r>
              <w:rPr>
                <w:rFonts w:hint="eastAsia" w:cs="Arial"/>
                <w:color w:val="000000"/>
                <w:sz w:val="22"/>
                <w:szCs w:val="18"/>
              </w:rPr>
              <w:t>　</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16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6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6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884"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6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6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86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6"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0" w:hRule="atLeast"/>
        </w:trPr>
        <w:tc>
          <w:tcPr>
            <w:tcW w:w="165"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165"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65"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884"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86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869"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86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6"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一般公共预算基本支出决算表（经济科目）</w:t>
      </w:r>
    </w:p>
    <w:tbl>
      <w:tblPr>
        <w:tblStyle w:val="6"/>
        <w:tblW w:w="5000" w:type="pct"/>
        <w:tblInd w:w="0" w:type="dxa"/>
        <w:tblLayout w:type="autofit"/>
        <w:tblCellMar>
          <w:top w:w="0" w:type="dxa"/>
          <w:left w:w="108" w:type="dxa"/>
          <w:bottom w:w="0" w:type="dxa"/>
          <w:right w:w="108" w:type="dxa"/>
        </w:tblCellMar>
      </w:tblPr>
      <w:tblGrid>
        <w:gridCol w:w="2047"/>
        <w:gridCol w:w="5485"/>
        <w:gridCol w:w="2140"/>
        <w:gridCol w:w="2140"/>
        <w:gridCol w:w="2140"/>
        <w:gridCol w:w="222"/>
      </w:tblGrid>
      <w:tr>
        <w:tblPrEx>
          <w:tblCellMar>
            <w:top w:w="0" w:type="dxa"/>
            <w:left w:w="108" w:type="dxa"/>
            <w:bottom w:w="0" w:type="dxa"/>
            <w:right w:w="108" w:type="dxa"/>
          </w:tblCellMar>
        </w:tblPrEx>
        <w:trPr>
          <w:gridAfter w:val="1"/>
          <w:wAfter w:w="15" w:type="pct"/>
          <w:trHeight w:val="260" w:hRule="atLeast"/>
        </w:trPr>
        <w:tc>
          <w:tcPr>
            <w:tcW w:w="735"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19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公开08表</w:t>
            </w:r>
          </w:p>
        </w:tc>
      </w:tr>
      <w:tr>
        <w:tblPrEx>
          <w:tblCellMar>
            <w:top w:w="0" w:type="dxa"/>
            <w:left w:w="108" w:type="dxa"/>
            <w:bottom w:w="0" w:type="dxa"/>
            <w:right w:w="108" w:type="dxa"/>
          </w:tblCellMar>
        </w:tblPrEx>
        <w:trPr>
          <w:gridAfter w:val="1"/>
          <w:wAfter w:w="15" w:type="pct"/>
          <w:trHeight w:val="260" w:hRule="atLeast"/>
        </w:trPr>
        <w:tc>
          <w:tcPr>
            <w:tcW w:w="2683" w:type="pct"/>
            <w:gridSpan w:val="2"/>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768"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15" w:type="pct"/>
          <w:trHeight w:val="415" w:hRule="atLeast"/>
        </w:trPr>
        <w:tc>
          <w:tcPr>
            <w:tcW w:w="26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2303" w:type="pct"/>
            <w:gridSpan w:val="3"/>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一般公共预算财政拨款基本支出</w:t>
            </w:r>
          </w:p>
        </w:tc>
      </w:tr>
      <w:tr>
        <w:tblPrEx>
          <w:tblCellMar>
            <w:top w:w="0" w:type="dxa"/>
            <w:left w:w="108" w:type="dxa"/>
            <w:bottom w:w="0" w:type="dxa"/>
            <w:right w:w="108" w:type="dxa"/>
          </w:tblCellMar>
        </w:tblPrEx>
        <w:trPr>
          <w:gridAfter w:val="1"/>
          <w:wAfter w:w="15" w:type="pct"/>
          <w:trHeight w:val="624" w:hRule="atLeast"/>
        </w:trPr>
        <w:tc>
          <w:tcPr>
            <w:tcW w:w="735" w:type="pct"/>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经济分类科目编码</w:t>
            </w:r>
          </w:p>
        </w:tc>
        <w:tc>
          <w:tcPr>
            <w:tcW w:w="1947"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768"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768"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人员经费</w:t>
            </w:r>
          </w:p>
        </w:tc>
        <w:tc>
          <w:tcPr>
            <w:tcW w:w="768"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公用经费</w:t>
            </w:r>
          </w:p>
        </w:tc>
      </w:tr>
      <w:tr>
        <w:tblPrEx>
          <w:tblCellMar>
            <w:top w:w="0" w:type="dxa"/>
            <w:left w:w="108" w:type="dxa"/>
            <w:bottom w:w="0" w:type="dxa"/>
            <w:right w:w="108" w:type="dxa"/>
          </w:tblCellMar>
        </w:tblPrEx>
        <w:trPr>
          <w:trHeight w:val="308" w:hRule="atLeast"/>
        </w:trPr>
        <w:tc>
          <w:tcPr>
            <w:tcW w:w="735"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947"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15"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08" w:hRule="atLeast"/>
        </w:trPr>
        <w:tc>
          <w:tcPr>
            <w:tcW w:w="735"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947"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768"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15"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2683" w:type="pct"/>
            <w:gridSpan w:val="2"/>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b/>
                <w:bCs/>
                <w:color w:val="000000"/>
                <w:sz w:val="22"/>
                <w:szCs w:val="22"/>
              </w:rPr>
            </w:pPr>
            <w:r>
              <w:rPr>
                <w:rFonts w:hint="eastAsia" w:cs="Arial"/>
                <w:b/>
                <w:bCs/>
                <w:color w:val="000000"/>
                <w:sz w:val="22"/>
                <w:szCs w:val="22"/>
              </w:rPr>
              <w:t>合计</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2531.18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2392.92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138.26</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 xml:space="preserve"> 工资福利支出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2113.36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2113.36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基本工资</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298.00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298.00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津贴补贴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807.42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807.42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奖金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307.01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307.01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伙食补助费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0.91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0.91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绩效工资</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143.75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143.75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机关事业单位基本养老保险缴费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149.48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149.48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职业年金缴费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68.75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68.75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职工基本医疗保险缴费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99.31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99.31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93"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公务员医疗补助缴费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其他社会保障缴费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住房公积金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208.34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208.34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30114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医疗费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12.68</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30199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其他工资福利支出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17.71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17.71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商品和服务支出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134.52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134.52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办公费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34.57</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34.57</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印刷费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5.32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5.32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咨询费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手续费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水费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电费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0.41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0.41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邮电费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取暖费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物业管理费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0.07</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0.07</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差旅费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2.04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因公出国（境）费用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维修（护）费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5.55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5.55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租赁费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会议费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培训费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公务接待费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30218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专用材料费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被装购置费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专用燃料费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劳务费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8.11</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委托业务费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3.10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3.10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工会经费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9.02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30229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福利费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1.45</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30231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公务用车运行维护费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30239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其他交通费用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56.62</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56.62</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30240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税金及附加费用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30299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其他商品和服务支出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0.30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0.30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对个人和家庭的补助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279.56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279.56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离休费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6.99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6.99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退休费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256.06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256.06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退职（役）费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抚恤金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12.35</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生活补助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1.26</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救济费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医疗费补助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1.81</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助学金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奖励金</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个人农业生产补贴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代缴社会保险费</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30399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其他对个人和家庭的补助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1.09</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债务利息及费用支出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国内债务付息</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国外债务付息</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国内债务发行费用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30704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国外债务发行费用</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资本性支出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房屋建筑物购建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办公设备购置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专用设备购置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基础设施建设</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大型修缮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信息网络及软件购置更新</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物资储备</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31009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土地补偿</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31010</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安置补助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地上附着物和青苗补偿</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拆迁补偿</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公务用车购置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31019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其他交通工具购置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31021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文物和陈列品购置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31022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无形资产购置</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31099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其他资本性支出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312</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对企业补助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31201</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资本金注入</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31203</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政府投资基金股权投资</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31204</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费用补贴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31205</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利息补贴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31299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其他对企业补助</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399</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其他支出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39906</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赠与</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39907</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国家赔偿费用支出</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39908</w:t>
            </w:r>
          </w:p>
        </w:tc>
        <w:tc>
          <w:tcPr>
            <w:tcW w:w="1947"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对民间非营利组织和群众性自治组织补贴</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735" w:type="pct"/>
            <w:tcBorders>
              <w:top w:val="nil"/>
              <w:left w:val="single" w:color="000000" w:sz="4" w:space="0"/>
              <w:bottom w:val="nil"/>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39999</w:t>
            </w:r>
          </w:p>
        </w:tc>
        <w:tc>
          <w:tcPr>
            <w:tcW w:w="1947" w:type="pct"/>
            <w:tcBorders>
              <w:top w:val="nil"/>
              <w:left w:val="nil"/>
              <w:bottom w:val="nil"/>
              <w:right w:val="single" w:color="000000" w:sz="4" w:space="0"/>
            </w:tcBorders>
            <w:shd w:val="clear" w:color="FFFFFF" w:fill="FFFFFF"/>
            <w:noWrap/>
            <w:vAlign w:val="center"/>
          </w:tcPr>
          <w:p>
            <w:pPr>
              <w:spacing w:line="200" w:lineRule="auto"/>
              <w:ind w:firstLine="0"/>
              <w:rPr>
                <w:rFonts w:cs="Arial"/>
                <w:color w:val="000000"/>
                <w:sz w:val="22"/>
                <w:szCs w:val="22"/>
              </w:rPr>
            </w:pPr>
            <w:r>
              <w:rPr>
                <w:rFonts w:hint="eastAsia" w:cs="Arial"/>
                <w:color w:val="000000"/>
                <w:sz w:val="22"/>
                <w:szCs w:val="22"/>
              </w:rPr>
              <w:t xml:space="preserve">  其他支出</w:t>
            </w:r>
          </w:p>
        </w:tc>
        <w:tc>
          <w:tcPr>
            <w:tcW w:w="768"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768"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445" w:hRule="atLeast"/>
        </w:trPr>
        <w:tc>
          <w:tcPr>
            <w:tcW w:w="4985" w:type="pct"/>
            <w:gridSpan w:val="5"/>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jc w:val="left"/>
              <w:rPr>
                <w:rFonts w:cs="Arial"/>
                <w:color w:val="000000"/>
                <w:sz w:val="20"/>
              </w:rPr>
            </w:pPr>
            <w:r>
              <w:rPr>
                <w:sz w:val="22"/>
              </w:rPr>
              <w:t>注：1. 本表反映部门本年度按经济分类一般公共预算财政拨款基本支出明细情况。</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08" w:hRule="atLeast"/>
        </w:trPr>
        <w:tc>
          <w:tcPr>
            <w:tcW w:w="4985" w:type="pct"/>
            <w:gridSpan w:val="5"/>
            <w:tcBorders>
              <w:top w:val="nil"/>
              <w:left w:val="nil"/>
              <w:bottom w:val="nil"/>
              <w:right w:val="nil"/>
            </w:tcBorders>
            <w:shd w:val="clear" w:color="000000" w:fill="FFFFFF"/>
            <w:vAlign w:val="center"/>
          </w:tcPr>
          <w:p>
            <w:pPr>
              <w:spacing w:line="200" w:lineRule="auto"/>
              <w:ind w:firstLine="0"/>
              <w:rPr>
                <w:rFonts w:cs="Arial"/>
                <w:color w:val="000000"/>
                <w:sz w:val="20"/>
              </w:rPr>
            </w:pPr>
            <w:r>
              <w:rPr>
                <w:rFonts w:hint="eastAsia" w:cs="Arial"/>
                <w:color w:val="000000"/>
                <w:sz w:val="22"/>
              </w:rPr>
              <w:t>　</w:t>
            </w:r>
          </w:p>
        </w:tc>
        <w:tc>
          <w:tcPr>
            <w:tcW w:w="15"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73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9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768"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5" w:type="pct"/>
            <w:vAlign w:val="center"/>
          </w:tcPr>
          <w:p>
            <w:pPr>
              <w:spacing w:line="200" w:lineRule="auto"/>
              <w:ind w:firstLine="0"/>
              <w:rPr>
                <w:rFonts w:eastAsia="Times New Roman"/>
                <w:sz w:val="20"/>
              </w:rPr>
            </w:pPr>
          </w:p>
        </w:tc>
      </w:tr>
      <w:tr>
        <w:trPr>
          <w:trHeight w:val="260" w:hRule="atLeast"/>
        </w:trPr>
        <w:tc>
          <w:tcPr>
            <w:tcW w:w="735"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194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768"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76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768"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5"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一般公共预算“三公”经费、会议费、培训费支出决算表</w:t>
      </w:r>
    </w:p>
    <w:tbl>
      <w:tblPr>
        <w:tblStyle w:val="6"/>
        <w:tblW w:w="5000" w:type="pct"/>
        <w:tblInd w:w="0" w:type="dxa"/>
        <w:tblLayout w:type="autofit"/>
        <w:tblCellMar>
          <w:top w:w="0" w:type="dxa"/>
          <w:left w:w="108" w:type="dxa"/>
          <w:bottom w:w="0" w:type="dxa"/>
          <w:right w:w="108" w:type="dxa"/>
        </w:tblCellMar>
      </w:tblPr>
      <w:tblGrid>
        <w:gridCol w:w="1737"/>
        <w:gridCol w:w="1737"/>
        <w:gridCol w:w="1738"/>
        <w:gridCol w:w="1738"/>
        <w:gridCol w:w="1738"/>
        <w:gridCol w:w="1738"/>
        <w:gridCol w:w="1877"/>
        <w:gridCol w:w="1871"/>
      </w:tblGrid>
      <w:tr>
        <w:tblPrEx>
          <w:tblCellMar>
            <w:top w:w="0" w:type="dxa"/>
            <w:left w:w="108" w:type="dxa"/>
            <w:bottom w:w="0" w:type="dxa"/>
            <w:right w:w="108" w:type="dxa"/>
          </w:tblCellMar>
        </w:tblPrEx>
        <w:trPr>
          <w:trHeight w:val="260" w:hRule="atLeast"/>
        </w:trPr>
        <w:tc>
          <w:tcPr>
            <w:tcW w:w="613"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62"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62"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公开09表</w:t>
            </w:r>
          </w:p>
        </w:tc>
      </w:tr>
      <w:tr>
        <w:tblPrEx>
          <w:tblCellMar>
            <w:top w:w="0" w:type="dxa"/>
            <w:left w:w="108" w:type="dxa"/>
            <w:bottom w:w="0" w:type="dxa"/>
            <w:right w:w="108" w:type="dxa"/>
          </w:tblCellMar>
        </w:tblPrEx>
        <w:trPr>
          <w:trHeight w:val="260" w:hRule="atLeast"/>
        </w:trPr>
        <w:tc>
          <w:tcPr>
            <w:tcW w:w="1838" w:type="pct"/>
            <w:gridSpan w:val="3"/>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jc w:val="center"/>
              <w:rPr>
                <w:rFonts w:cs="Arial"/>
                <w:color w:val="000000"/>
                <w:sz w:val="20"/>
              </w:rPr>
            </w:pPr>
            <w:r>
              <w:rPr>
                <w:rFonts w:hint="eastAsia" w:cs="Arial"/>
                <w:color w:val="000000"/>
                <w:sz w:val="20"/>
              </w:rPr>
              <w:t>　</w:t>
            </w:r>
          </w:p>
        </w:tc>
        <w:tc>
          <w:tcPr>
            <w:tcW w:w="613"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662"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662"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trHeight w:val="400" w:hRule="atLeast"/>
        </w:trPr>
        <w:tc>
          <w:tcPr>
            <w:tcW w:w="3677" w:type="pct"/>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“三公”经费</w:t>
            </w:r>
          </w:p>
        </w:tc>
        <w:tc>
          <w:tcPr>
            <w:tcW w:w="662"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会议费</w:t>
            </w:r>
          </w:p>
        </w:tc>
        <w:tc>
          <w:tcPr>
            <w:tcW w:w="662" w:type="pct"/>
            <w:vMerge w:val="restar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培训费</w:t>
            </w:r>
          </w:p>
        </w:tc>
      </w:tr>
      <w:tr>
        <w:tblPrEx>
          <w:tblCellMar>
            <w:top w:w="0" w:type="dxa"/>
            <w:left w:w="108" w:type="dxa"/>
            <w:bottom w:w="0" w:type="dxa"/>
            <w:right w:w="108" w:type="dxa"/>
          </w:tblCellMar>
        </w:tblPrEx>
        <w:trPr>
          <w:trHeight w:val="523" w:hRule="atLeast"/>
        </w:trPr>
        <w:tc>
          <w:tcPr>
            <w:tcW w:w="613" w:type="pct"/>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“三公”经费</w:t>
            </w:r>
            <w:r>
              <w:rPr>
                <w:rFonts w:hint="eastAsia" w:cs="Arial"/>
                <w:color w:val="000000"/>
                <w:sz w:val="22"/>
                <w:szCs w:val="22"/>
              </w:rPr>
              <w:br w:type="textWrapping"/>
            </w:r>
            <w:r>
              <w:rPr>
                <w:rFonts w:hint="eastAsia" w:cs="Arial"/>
                <w:color w:val="000000"/>
                <w:sz w:val="22"/>
                <w:szCs w:val="22"/>
              </w:rPr>
              <w:br w:type="textWrapping"/>
            </w:r>
            <w:r>
              <w:rPr>
                <w:rFonts w:hint="eastAsia" w:cs="Arial"/>
                <w:color w:val="000000"/>
                <w:sz w:val="22"/>
                <w:szCs w:val="22"/>
              </w:rPr>
              <w:t>合计</w:t>
            </w:r>
          </w:p>
        </w:tc>
        <w:tc>
          <w:tcPr>
            <w:tcW w:w="613"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因公出国（境）费</w:t>
            </w:r>
          </w:p>
        </w:tc>
        <w:tc>
          <w:tcPr>
            <w:tcW w:w="1838" w:type="pct"/>
            <w:gridSpan w:val="3"/>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公务用车购置及运行维护费</w:t>
            </w:r>
          </w:p>
        </w:tc>
        <w:tc>
          <w:tcPr>
            <w:tcW w:w="613"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公务接待费</w:t>
            </w:r>
          </w:p>
        </w:tc>
        <w:tc>
          <w:tcPr>
            <w:tcW w:w="662"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662"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738" w:hRule="atLeast"/>
        </w:trPr>
        <w:tc>
          <w:tcPr>
            <w:tcW w:w="613" w:type="pct"/>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613"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613" w:type="pc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小计</w:t>
            </w:r>
          </w:p>
        </w:tc>
        <w:tc>
          <w:tcPr>
            <w:tcW w:w="613" w:type="pc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公务用车购置费</w:t>
            </w:r>
          </w:p>
        </w:tc>
        <w:tc>
          <w:tcPr>
            <w:tcW w:w="613" w:type="pc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公务用车运行维护费</w:t>
            </w:r>
          </w:p>
        </w:tc>
        <w:tc>
          <w:tcPr>
            <w:tcW w:w="613"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662"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662"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400" w:hRule="atLeast"/>
        </w:trPr>
        <w:tc>
          <w:tcPr>
            <w:tcW w:w="613" w:type="pct"/>
            <w:tcBorders>
              <w:top w:val="nil"/>
              <w:left w:val="single" w:color="000000" w:sz="4" w:space="0"/>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4.04</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1.52</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1.52</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2.52</w:t>
            </w:r>
          </w:p>
        </w:tc>
        <w:tc>
          <w:tcPr>
            <w:tcW w:w="662"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0.62</w:t>
            </w:r>
          </w:p>
        </w:tc>
        <w:tc>
          <w:tcPr>
            <w:tcW w:w="662"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0.47</w:t>
            </w:r>
          </w:p>
        </w:tc>
      </w:tr>
      <w:tr>
        <w:tblPrEx>
          <w:tblCellMar>
            <w:top w:w="0" w:type="dxa"/>
            <w:left w:w="108" w:type="dxa"/>
            <w:bottom w:w="0" w:type="dxa"/>
            <w:right w:w="108" w:type="dxa"/>
          </w:tblCellMar>
        </w:tblPrEx>
        <w:trPr>
          <w:trHeight w:val="615" w:hRule="atLeast"/>
        </w:trPr>
        <w:tc>
          <w:tcPr>
            <w:tcW w:w="5000" w:type="pct"/>
            <w:gridSpan w:val="8"/>
            <w:tcBorders>
              <w:top w:val="nil"/>
              <w:left w:val="nil"/>
              <w:bottom w:val="single" w:color="000000" w:sz="4" w:space="0"/>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相关统计数：</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w:t>
            </w:r>
          </w:p>
        </w:tc>
        <w:tc>
          <w:tcPr>
            <w:tcW w:w="613"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统计数</w:t>
            </w:r>
          </w:p>
        </w:tc>
        <w:tc>
          <w:tcPr>
            <w:tcW w:w="1226" w:type="pct"/>
            <w:gridSpan w:val="2"/>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w:t>
            </w:r>
          </w:p>
        </w:tc>
        <w:tc>
          <w:tcPr>
            <w:tcW w:w="613"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统计数</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因公出国（境）团组数(个)</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0</w:t>
            </w:r>
          </w:p>
        </w:tc>
        <w:tc>
          <w:tcPr>
            <w:tcW w:w="1226" w:type="pct"/>
            <w:gridSpan w:val="2"/>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因公出国（境）人次数(人)</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0</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公务用车购置数(辆)</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0</w:t>
            </w:r>
          </w:p>
        </w:tc>
        <w:tc>
          <w:tcPr>
            <w:tcW w:w="1226" w:type="pct"/>
            <w:gridSpan w:val="2"/>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公务用车保有量(辆)</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1</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国内公务接待批次(个)</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22</w:t>
            </w:r>
          </w:p>
        </w:tc>
        <w:tc>
          <w:tcPr>
            <w:tcW w:w="1226" w:type="pct"/>
            <w:gridSpan w:val="2"/>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国内公务接待人次(人)</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215</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国（境）外公务接待批次(个)</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0</w:t>
            </w:r>
          </w:p>
        </w:tc>
        <w:tc>
          <w:tcPr>
            <w:tcW w:w="1226" w:type="pct"/>
            <w:gridSpan w:val="2"/>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国（境）外公务接待人次(人)</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0</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召开会议次数(个)</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5</w:t>
            </w:r>
          </w:p>
        </w:tc>
        <w:tc>
          <w:tcPr>
            <w:tcW w:w="1226" w:type="pct"/>
            <w:gridSpan w:val="2"/>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参加会议人次(人)</w:t>
            </w:r>
          </w:p>
        </w:tc>
        <w:tc>
          <w:tcPr>
            <w:tcW w:w="613"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100</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400" w:hRule="atLeast"/>
        </w:trPr>
        <w:tc>
          <w:tcPr>
            <w:tcW w:w="1226" w:type="pct"/>
            <w:gridSpan w:val="2"/>
            <w:tcBorders>
              <w:top w:val="nil"/>
              <w:left w:val="single" w:color="000000" w:sz="4" w:space="0"/>
              <w:bottom w:val="nil"/>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组织培训次数(个)</w:t>
            </w:r>
          </w:p>
        </w:tc>
        <w:tc>
          <w:tcPr>
            <w:tcW w:w="613" w:type="pct"/>
            <w:tcBorders>
              <w:top w:val="nil"/>
              <w:left w:val="nil"/>
              <w:bottom w:val="nil"/>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11</w:t>
            </w:r>
          </w:p>
        </w:tc>
        <w:tc>
          <w:tcPr>
            <w:tcW w:w="1226" w:type="pct"/>
            <w:gridSpan w:val="2"/>
            <w:tcBorders>
              <w:top w:val="nil"/>
              <w:left w:val="nil"/>
              <w:bottom w:val="nil"/>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参加培训人次(人)</w:t>
            </w:r>
          </w:p>
        </w:tc>
        <w:tc>
          <w:tcPr>
            <w:tcW w:w="613" w:type="pct"/>
            <w:tcBorders>
              <w:top w:val="nil"/>
              <w:left w:val="nil"/>
              <w:bottom w:val="nil"/>
              <w:right w:val="single" w:color="000000" w:sz="4" w:space="0"/>
            </w:tcBorders>
            <w:shd w:val="clear" w:color="000000"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502</w:t>
            </w:r>
          </w:p>
        </w:tc>
        <w:tc>
          <w:tcPr>
            <w:tcW w:w="662" w:type="pct"/>
            <w:tcBorders>
              <w:top w:val="nil"/>
              <w:left w:val="nil"/>
              <w:bottom w:val="nil"/>
              <w:right w:val="nil"/>
            </w:tcBorders>
            <w:shd w:val="clear" w:color="000000" w:fill="FFFFFF"/>
            <w:noWrap/>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662" w:type="pct"/>
            <w:tcBorders>
              <w:top w:val="nil"/>
              <w:left w:val="nil"/>
              <w:bottom w:val="nil"/>
              <w:right w:val="nil"/>
            </w:tcBorders>
            <w:shd w:val="clear" w:color="000000" w:fill="FFFFFF"/>
            <w:noWrap/>
            <w:vAlign w:val="center"/>
          </w:tcPr>
          <w:p>
            <w:pPr>
              <w:spacing w:line="200" w:lineRule="auto"/>
              <w:ind w:firstLine="0"/>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508" w:hRule="atLeast"/>
        </w:trPr>
        <w:tc>
          <w:tcPr>
            <w:tcW w:w="3677" w:type="pct"/>
            <w:gridSpan w:val="6"/>
            <w:tcBorders>
              <w:top w:val="single" w:color="000000" w:sz="4" w:space="0"/>
              <w:left w:val="single" w:color="FFFFFF" w:sz="4" w:space="0"/>
              <w:bottom w:val="single" w:color="FFFFFF" w:sz="4" w:space="0"/>
              <w:right w:val="single" w:color="FFFFFF" w:sz="4" w:space="0"/>
            </w:tcBorders>
            <w:shd w:val="clear" w:color="000000" w:fill="FFFFFF"/>
            <w:noWrap/>
            <w:vAlign w:val="center"/>
          </w:tcPr>
          <w:p>
            <w:pPr>
              <w:spacing w:line="200" w:lineRule="auto"/>
              <w:ind w:firstLine="0"/>
              <w:rPr>
                <w:rFonts w:cs="Arial"/>
                <w:color w:val="000000"/>
                <w:sz w:val="18"/>
                <w:szCs w:val="18"/>
              </w:rPr>
            </w:pPr>
            <w:r>
              <w:rPr>
                <w:rFonts w:hint="eastAsia" w:cs="Arial"/>
                <w:color w:val="000000"/>
                <w:sz w:val="22"/>
                <w:szCs w:val="18"/>
              </w:rPr>
              <w:t>注：“三公”经费、会议费、培训费详细支出情况见支出情况说明。</w:t>
            </w:r>
          </w:p>
        </w:tc>
        <w:tc>
          <w:tcPr>
            <w:tcW w:w="662" w:type="pct"/>
            <w:tcBorders>
              <w:top w:val="nil"/>
              <w:left w:val="nil"/>
              <w:bottom w:val="single" w:color="FFFFFF" w:sz="4" w:space="0"/>
              <w:right w:val="nil"/>
            </w:tcBorders>
            <w:shd w:val="clear" w:color="000000" w:fill="FFFFFF"/>
            <w:noWrap/>
            <w:vAlign w:val="center"/>
          </w:tcPr>
          <w:p>
            <w:pPr>
              <w:spacing w:line="200" w:lineRule="auto"/>
              <w:ind w:firstLine="0"/>
              <w:rPr>
                <w:rFonts w:cs="Arial"/>
                <w:color w:val="000000"/>
                <w:sz w:val="20"/>
              </w:rPr>
            </w:pPr>
            <w:r>
              <w:rPr>
                <w:rFonts w:hint="eastAsia" w:cs="Arial"/>
                <w:color w:val="000000"/>
                <w:sz w:val="22"/>
              </w:rPr>
              <w:t>　</w:t>
            </w:r>
          </w:p>
        </w:tc>
        <w:tc>
          <w:tcPr>
            <w:tcW w:w="662" w:type="pct"/>
            <w:tcBorders>
              <w:top w:val="nil"/>
              <w:left w:val="nil"/>
              <w:bottom w:val="single" w:color="FFFFFF" w:sz="4" w:space="0"/>
              <w:right w:val="single" w:color="FFFFFF" w:sz="4" w:space="0"/>
            </w:tcBorders>
            <w:shd w:val="clear" w:color="000000" w:fill="FFFFFF"/>
            <w:noWrap/>
            <w:vAlign w:val="center"/>
          </w:tcPr>
          <w:p>
            <w:pPr>
              <w:spacing w:line="200" w:lineRule="auto"/>
              <w:ind w:firstLine="0"/>
              <w:rPr>
                <w:rFonts w:cs="Arial"/>
                <w:color w:val="000000"/>
                <w:sz w:val="20"/>
              </w:rPr>
            </w:pPr>
            <w:r>
              <w:rPr>
                <w:rFonts w:hint="eastAsia" w:cs="Arial"/>
                <w:color w:val="000000"/>
                <w:sz w:val="22"/>
              </w:rPr>
              <w:t>　</w:t>
            </w:r>
          </w:p>
        </w:tc>
      </w:tr>
      <w:tr>
        <w:tblPrEx>
          <w:tblCellMar>
            <w:top w:w="0" w:type="dxa"/>
            <w:left w:w="108" w:type="dxa"/>
            <w:bottom w:w="0" w:type="dxa"/>
            <w:right w:w="108" w:type="dxa"/>
          </w:tblCellMar>
        </w:tblPrEx>
        <w:trPr>
          <w:trHeight w:val="250" w:hRule="atLeast"/>
        </w:trPr>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13"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62"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662"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260" w:hRule="atLeast"/>
        </w:trPr>
        <w:tc>
          <w:tcPr>
            <w:tcW w:w="613"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61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61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61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613"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613"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662"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662"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政府性基金预算收入支出决算表</w:t>
      </w:r>
    </w:p>
    <w:tbl>
      <w:tblPr>
        <w:tblStyle w:val="6"/>
        <w:tblW w:w="5000" w:type="pct"/>
        <w:tblInd w:w="0" w:type="dxa"/>
        <w:tblLayout w:type="autofit"/>
        <w:tblCellMar>
          <w:top w:w="0" w:type="dxa"/>
          <w:left w:w="108" w:type="dxa"/>
          <w:bottom w:w="0" w:type="dxa"/>
          <w:right w:w="108" w:type="dxa"/>
        </w:tblCellMar>
      </w:tblPr>
      <w:tblGrid>
        <w:gridCol w:w="332"/>
        <w:gridCol w:w="315"/>
        <w:gridCol w:w="352"/>
        <w:gridCol w:w="3369"/>
        <w:gridCol w:w="1756"/>
        <w:gridCol w:w="1518"/>
        <w:gridCol w:w="1518"/>
        <w:gridCol w:w="1518"/>
        <w:gridCol w:w="1518"/>
        <w:gridCol w:w="1756"/>
        <w:gridCol w:w="222"/>
      </w:tblGrid>
      <w:tr>
        <w:tblPrEx>
          <w:tblCellMar>
            <w:top w:w="0" w:type="dxa"/>
            <w:left w:w="108" w:type="dxa"/>
            <w:bottom w:w="0" w:type="dxa"/>
            <w:right w:w="108" w:type="dxa"/>
          </w:tblCellMar>
        </w:tblPrEx>
        <w:trPr>
          <w:gridAfter w:val="1"/>
          <w:wAfter w:w="11" w:type="pct"/>
          <w:trHeight w:val="260" w:hRule="atLeast"/>
        </w:trPr>
        <w:tc>
          <w:tcPr>
            <w:tcW w:w="141"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13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212"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公开10表</w:t>
            </w:r>
          </w:p>
        </w:tc>
      </w:tr>
      <w:tr>
        <w:tblPrEx>
          <w:tblCellMar>
            <w:top w:w="0" w:type="dxa"/>
            <w:left w:w="108" w:type="dxa"/>
            <w:bottom w:w="0" w:type="dxa"/>
            <w:right w:w="108" w:type="dxa"/>
          </w:tblCellMar>
        </w:tblPrEx>
        <w:trPr>
          <w:gridAfter w:val="1"/>
          <w:wAfter w:w="11" w:type="pct"/>
          <w:trHeight w:val="260" w:hRule="atLeast"/>
        </w:trPr>
        <w:tc>
          <w:tcPr>
            <w:tcW w:w="1636" w:type="pct"/>
            <w:gridSpan w:val="4"/>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jc w:val="center"/>
              <w:rPr>
                <w:rFonts w:cs="Arial"/>
                <w:color w:val="000000"/>
                <w:sz w:val="20"/>
              </w:rPr>
            </w:pPr>
            <w:r>
              <w:rPr>
                <w:rFonts w:hint="eastAsia"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559"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gridAfter w:val="1"/>
          <w:wAfter w:w="11" w:type="pct"/>
          <w:trHeight w:val="415" w:hRule="atLeast"/>
        </w:trPr>
        <w:tc>
          <w:tcPr>
            <w:tcW w:w="163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0"/>
                <w:szCs w:val="22"/>
              </w:rPr>
              <w:t>项目</w:t>
            </w:r>
          </w:p>
        </w:tc>
        <w:tc>
          <w:tcPr>
            <w:tcW w:w="559"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本年收入</w:t>
            </w:r>
          </w:p>
        </w:tc>
        <w:tc>
          <w:tcPr>
            <w:tcW w:w="1677" w:type="pct"/>
            <w:gridSpan w:val="3"/>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本年支出</w:t>
            </w:r>
          </w:p>
        </w:tc>
        <w:tc>
          <w:tcPr>
            <w:tcW w:w="559"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年末结转和结余</w:t>
            </w:r>
          </w:p>
        </w:tc>
      </w:tr>
      <w:tr>
        <w:tblPrEx>
          <w:tblCellMar>
            <w:top w:w="0" w:type="dxa"/>
            <w:left w:w="108" w:type="dxa"/>
            <w:bottom w:w="0" w:type="dxa"/>
            <w:right w:w="108" w:type="dxa"/>
          </w:tblCellMar>
        </w:tblPrEx>
        <w:trPr>
          <w:gridAfter w:val="1"/>
          <w:wAfter w:w="11" w:type="pct"/>
          <w:trHeight w:val="624" w:hRule="atLeast"/>
        </w:trPr>
        <w:tc>
          <w:tcPr>
            <w:tcW w:w="424"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功能分类科目编码</w:t>
            </w:r>
          </w:p>
        </w:tc>
        <w:tc>
          <w:tcPr>
            <w:tcW w:w="1212" w:type="pct"/>
            <w:vMerge w:val="restart"/>
            <w:tcBorders>
              <w:top w:val="nil"/>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restar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小计</w:t>
            </w:r>
          </w:p>
        </w:tc>
        <w:tc>
          <w:tcPr>
            <w:tcW w:w="559" w:type="pct"/>
            <w:vMerge w:val="restar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基本支出</w:t>
            </w:r>
          </w:p>
        </w:tc>
        <w:tc>
          <w:tcPr>
            <w:tcW w:w="559" w:type="pct"/>
            <w:vMerge w:val="restar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项目支出</w:t>
            </w: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308" w:hRule="atLeast"/>
        </w:trPr>
        <w:tc>
          <w:tcPr>
            <w:tcW w:w="424"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212"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1" w:type="pct"/>
            <w:tcBorders>
              <w:top w:val="nil"/>
              <w:left w:val="nil"/>
              <w:bottom w:val="nil"/>
              <w:right w:val="nil"/>
            </w:tcBorders>
            <w:shd w:val="clear" w:color="auto" w:fill="auto"/>
            <w:noWrap/>
            <w:vAlign w:val="bottom"/>
          </w:tcPr>
          <w:p>
            <w:pPr>
              <w:spacing w:line="200" w:lineRule="auto"/>
              <w:ind w:firstLine="0"/>
              <w:jc w:val="center"/>
              <w:rPr>
                <w:rFonts w:cs="Arial"/>
                <w:color w:val="000000"/>
                <w:sz w:val="22"/>
                <w:szCs w:val="22"/>
              </w:rPr>
            </w:pPr>
          </w:p>
        </w:tc>
      </w:tr>
      <w:tr>
        <w:tblPrEx>
          <w:tblCellMar>
            <w:top w:w="0" w:type="dxa"/>
            <w:left w:w="108" w:type="dxa"/>
            <w:bottom w:w="0" w:type="dxa"/>
            <w:right w:w="108" w:type="dxa"/>
          </w:tblCellMar>
        </w:tblPrEx>
        <w:trPr>
          <w:trHeight w:val="308" w:hRule="atLeast"/>
        </w:trPr>
        <w:tc>
          <w:tcPr>
            <w:tcW w:w="424" w:type="pct"/>
            <w:gridSpan w:val="3"/>
            <w:vMerge w:val="continue"/>
            <w:tcBorders>
              <w:top w:val="nil"/>
              <w:left w:val="single" w:color="000000" w:sz="4" w:space="0"/>
              <w:bottom w:val="single" w:color="000000" w:sz="4" w:space="0"/>
              <w:right w:val="single" w:color="000000" w:sz="4" w:space="0"/>
            </w:tcBorders>
            <w:vAlign w:val="center"/>
          </w:tcPr>
          <w:p>
            <w:pPr>
              <w:spacing w:line="200" w:lineRule="auto"/>
              <w:rPr>
                <w:rFonts w:cs="Arial"/>
                <w:color w:val="000000"/>
                <w:sz w:val="22"/>
                <w:szCs w:val="22"/>
              </w:rPr>
            </w:pPr>
          </w:p>
        </w:tc>
        <w:tc>
          <w:tcPr>
            <w:tcW w:w="1212"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nil"/>
              <w:left w:val="nil"/>
              <w:bottom w:val="single" w:color="000000" w:sz="4" w:space="0"/>
              <w:right w:val="single" w:color="000000" w:sz="4" w:space="0"/>
            </w:tcBorders>
            <w:vAlign w:val="center"/>
          </w:tcPr>
          <w:p>
            <w:pPr>
              <w:spacing w:line="200" w:lineRule="auto"/>
              <w:rPr>
                <w:rFonts w:cs="Arial"/>
                <w:color w:val="000000"/>
                <w:sz w:val="22"/>
                <w:szCs w:val="22"/>
              </w:rPr>
            </w:pPr>
          </w:p>
        </w:tc>
        <w:tc>
          <w:tcPr>
            <w:tcW w:w="559"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c>
          <w:tcPr>
            <w:tcW w:w="11"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1636" w:type="pct"/>
            <w:gridSpan w:val="4"/>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栏次</w:t>
            </w:r>
          </w:p>
        </w:tc>
        <w:tc>
          <w:tcPr>
            <w:tcW w:w="55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1</w:t>
            </w:r>
          </w:p>
        </w:tc>
        <w:tc>
          <w:tcPr>
            <w:tcW w:w="55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2</w:t>
            </w:r>
          </w:p>
        </w:tc>
        <w:tc>
          <w:tcPr>
            <w:tcW w:w="55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0"/>
              </w:rPr>
            </w:pPr>
            <w:r>
              <w:rPr>
                <w:rFonts w:hint="eastAsia" w:cs="Arial"/>
                <w:color w:val="000000"/>
                <w:sz w:val="22"/>
              </w:rPr>
              <w:t>3</w:t>
            </w:r>
          </w:p>
        </w:tc>
        <w:tc>
          <w:tcPr>
            <w:tcW w:w="559"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0"/>
              </w:rPr>
            </w:pPr>
            <w:r>
              <w:rPr>
                <w:rFonts w:hint="eastAsia" w:cs="Arial"/>
                <w:color w:val="000000"/>
                <w:sz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1636" w:type="pct"/>
            <w:gridSpan w:val="4"/>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合计</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229</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其他支出</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22960</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彩票公益金安排的支出</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2296003</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xml:space="preserve">  用于体育事业的彩票公益金支出</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46.00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41.00</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5.00</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single" w:color="000000" w:sz="4" w:space="0"/>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1212" w:type="pct"/>
            <w:tcBorders>
              <w:top w:val="nil"/>
              <w:left w:val="nil"/>
              <w:bottom w:val="single" w:color="000000" w:sz="4" w:space="0"/>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338" w:hRule="atLeast"/>
        </w:trPr>
        <w:tc>
          <w:tcPr>
            <w:tcW w:w="424" w:type="pct"/>
            <w:gridSpan w:val="3"/>
            <w:tcBorders>
              <w:top w:val="nil"/>
              <w:left w:val="single" w:color="000000" w:sz="4" w:space="0"/>
              <w:bottom w:val="nil"/>
              <w:right w:val="single" w:color="000000" w:sz="4" w:space="0"/>
            </w:tcBorders>
            <w:shd w:val="clear" w:color="000000" w:fill="FFFFFF"/>
            <w:vAlign w:val="center"/>
          </w:tcPr>
          <w:p>
            <w:pPr>
              <w:spacing w:line="200" w:lineRule="auto"/>
              <w:ind w:firstLine="0"/>
              <w:jc w:val="left"/>
              <w:rPr>
                <w:rFonts w:cs="Arial"/>
                <w:color w:val="000000"/>
                <w:sz w:val="22"/>
                <w:szCs w:val="22"/>
              </w:rPr>
            </w:pPr>
            <w:r>
              <w:rPr>
                <w:rFonts w:hint="eastAsia" w:cs="Arial"/>
                <w:color w:val="000000"/>
                <w:sz w:val="22"/>
                <w:szCs w:val="22"/>
              </w:rPr>
              <w:t>　</w:t>
            </w:r>
          </w:p>
        </w:tc>
        <w:tc>
          <w:tcPr>
            <w:tcW w:w="1212" w:type="pct"/>
            <w:tcBorders>
              <w:top w:val="nil"/>
              <w:left w:val="nil"/>
              <w:bottom w:val="nil"/>
              <w:right w:val="single" w:color="000000" w:sz="4" w:space="0"/>
            </w:tcBorders>
            <w:shd w:val="clear" w:color="000000" w:fill="FFFFFF"/>
            <w:vAlign w:val="center"/>
          </w:tcPr>
          <w:p>
            <w:pPr>
              <w:spacing w:line="200" w:lineRule="auto"/>
              <w:ind w:firstLine="0"/>
              <w:rPr>
                <w:rFonts w:cs="Arial"/>
                <w:color w:val="000000"/>
                <w:sz w:val="22"/>
                <w:szCs w:val="22"/>
              </w:rPr>
            </w:pPr>
            <w:r>
              <w:rPr>
                <w:rFonts w:hint="eastAsia" w:cs="Arial"/>
                <w:color w:val="000000"/>
                <w:sz w:val="22"/>
                <w:szCs w:val="22"/>
              </w:rPr>
              <w:t>　</w:t>
            </w:r>
          </w:p>
        </w:tc>
        <w:tc>
          <w:tcPr>
            <w:tcW w:w="559" w:type="pct"/>
            <w:tcBorders>
              <w:top w:val="nil"/>
              <w:left w:val="nil"/>
              <w:bottom w:val="nil"/>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nil"/>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nil"/>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nil"/>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nil"/>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559" w:type="pct"/>
            <w:tcBorders>
              <w:top w:val="nil"/>
              <w:left w:val="nil"/>
              <w:bottom w:val="nil"/>
              <w:right w:val="single" w:color="000000" w:sz="4" w:space="0"/>
            </w:tcBorders>
            <w:shd w:val="clear" w:color="000000" w:fill="FFFFFF"/>
            <w:noWrap/>
            <w:vAlign w:val="center"/>
          </w:tcPr>
          <w:p>
            <w:pPr>
              <w:spacing w:line="200" w:lineRule="auto"/>
              <w:ind w:firstLine="0"/>
              <w:jc w:val="right"/>
              <w:rPr>
                <w:rFonts w:cs="Arial"/>
                <w:color w:val="000000"/>
                <w:sz w:val="22"/>
                <w:szCs w:val="22"/>
              </w:rPr>
            </w:pPr>
            <w:r>
              <w:rPr>
                <w:rFonts w:hint="eastAsia" w:cs="Arial"/>
                <w:color w:val="000000"/>
                <w:sz w:val="22"/>
                <w:szCs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400" w:hRule="atLeast"/>
        </w:trPr>
        <w:tc>
          <w:tcPr>
            <w:tcW w:w="4989" w:type="pct"/>
            <w:gridSpan w:val="10"/>
            <w:tcBorders>
              <w:top w:val="single" w:color="000000" w:sz="4" w:space="0"/>
              <w:left w:val="single" w:color="FFFFFF" w:sz="4" w:space="0"/>
              <w:bottom w:val="nil"/>
              <w:right w:val="single" w:color="FFFFFF" w:sz="4" w:space="0"/>
            </w:tcBorders>
            <w:shd w:val="clear" w:color="000000" w:fill="FFFFFF"/>
            <w:vAlign w:val="center"/>
          </w:tcPr>
          <w:p>
            <w:pPr>
              <w:spacing w:line="200" w:lineRule="auto"/>
              <w:ind w:firstLine="0"/>
              <w:jc w:val="left"/>
              <w:rPr>
                <w:rFonts w:cs="Arial"/>
                <w:color w:val="000000"/>
                <w:sz w:val="18"/>
                <w:szCs w:val="18"/>
              </w:rPr>
            </w:pPr>
            <w:r>
              <w:rPr>
                <w:rFonts w:hint="eastAsia" w:cs="Arial"/>
                <w:color w:val="000000"/>
                <w:sz w:val="22"/>
                <w:szCs w:val="18"/>
              </w:rPr>
              <w:t>注：1、本表反映部门本年度按功能分类政府性基金预算财政拨款收支及结转和结余情况。</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50" w:hRule="atLeast"/>
        </w:trPr>
        <w:tc>
          <w:tcPr>
            <w:tcW w:w="141"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35"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4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212"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559"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1" w:type="pct"/>
            <w:vAlign w:val="center"/>
          </w:tcPr>
          <w:p>
            <w:pPr>
              <w:spacing w:line="200" w:lineRule="auto"/>
              <w:ind w:firstLine="0"/>
              <w:rPr>
                <w:rFonts w:eastAsia="Times New Roman"/>
                <w:sz w:val="20"/>
              </w:rPr>
            </w:pPr>
          </w:p>
        </w:tc>
      </w:tr>
      <w:tr>
        <w:tblPrEx>
          <w:tblCellMar>
            <w:top w:w="0" w:type="dxa"/>
            <w:left w:w="108" w:type="dxa"/>
            <w:bottom w:w="0" w:type="dxa"/>
            <w:right w:w="108" w:type="dxa"/>
          </w:tblCellMar>
        </w:tblPrEx>
        <w:trPr>
          <w:trHeight w:val="260" w:hRule="atLeast"/>
        </w:trPr>
        <w:tc>
          <w:tcPr>
            <w:tcW w:w="141"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135"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4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212"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5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5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59"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c>
          <w:tcPr>
            <w:tcW w:w="55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5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559"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1" w:type="pct"/>
            <w:vAlign w:val="center"/>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一般公共预算机关运行经费支出决算表</w:t>
      </w:r>
    </w:p>
    <w:tbl>
      <w:tblPr>
        <w:tblStyle w:val="6"/>
        <w:tblW w:w="5000" w:type="pct"/>
        <w:tblInd w:w="0" w:type="dxa"/>
        <w:tblLayout w:type="autofit"/>
        <w:tblCellMar>
          <w:top w:w="0" w:type="dxa"/>
          <w:left w:w="108" w:type="dxa"/>
          <w:bottom w:w="0" w:type="dxa"/>
          <w:right w:w="108" w:type="dxa"/>
        </w:tblCellMar>
      </w:tblPr>
      <w:tblGrid>
        <w:gridCol w:w="927"/>
        <w:gridCol w:w="927"/>
        <w:gridCol w:w="927"/>
        <w:gridCol w:w="5868"/>
        <w:gridCol w:w="5525"/>
      </w:tblGrid>
      <w:tr>
        <w:tblPrEx>
          <w:tblCellMar>
            <w:top w:w="0" w:type="dxa"/>
            <w:left w:w="108" w:type="dxa"/>
            <w:bottom w:w="0" w:type="dxa"/>
            <w:right w:w="108" w:type="dxa"/>
          </w:tblCellMar>
        </w:tblPrEx>
        <w:trPr>
          <w:trHeight w:val="260" w:hRule="atLeast"/>
        </w:trPr>
        <w:tc>
          <w:tcPr>
            <w:tcW w:w="327"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32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32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207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0"/>
              </w:rPr>
              <w:t>　</w:t>
            </w:r>
          </w:p>
        </w:tc>
        <w:tc>
          <w:tcPr>
            <w:tcW w:w="1950"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公开11表</w:t>
            </w:r>
          </w:p>
        </w:tc>
      </w:tr>
      <w:tr>
        <w:tblPrEx>
          <w:tblCellMar>
            <w:top w:w="0" w:type="dxa"/>
            <w:left w:w="108" w:type="dxa"/>
            <w:bottom w:w="0" w:type="dxa"/>
            <w:right w:w="108" w:type="dxa"/>
          </w:tblCellMar>
        </w:tblPrEx>
        <w:trPr>
          <w:trHeight w:val="260" w:hRule="atLeast"/>
        </w:trPr>
        <w:tc>
          <w:tcPr>
            <w:tcW w:w="3050" w:type="pct"/>
            <w:gridSpan w:val="4"/>
            <w:tcBorders>
              <w:top w:val="nil"/>
              <w:left w:val="nil"/>
              <w:bottom w:val="single" w:color="000000" w:sz="4" w:space="0"/>
              <w:right w:val="nil"/>
            </w:tcBorders>
            <w:shd w:val="clear" w:color="000000" w:fill="FFFFFF"/>
            <w:noWrap/>
            <w:vAlign w:val="bottom"/>
          </w:tcPr>
          <w:p>
            <w:pPr>
              <w:spacing w:line="200" w:lineRule="auto"/>
              <w:ind w:firstLine="0"/>
              <w:jc w:val="left"/>
              <w:rPr>
                <w:rFonts w:cs="Arial"/>
                <w:color w:val="000000"/>
                <w:sz w:val="20"/>
              </w:rPr>
            </w:pPr>
            <w:r>
              <w:rPr>
                <w:rFonts w:hint="eastAsia" w:cs="Arial"/>
                <w:color w:val="000000"/>
                <w:sz w:val="20"/>
              </w:rPr>
              <w:t>部门名称:南京市雨花台区文旅局</w:t>
            </w:r>
          </w:p>
        </w:tc>
        <w:tc>
          <w:tcPr>
            <w:tcW w:w="1950"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r>
      <w:tr>
        <w:tblPrEx>
          <w:tblCellMar>
            <w:top w:w="0" w:type="dxa"/>
            <w:left w:w="108" w:type="dxa"/>
            <w:bottom w:w="0" w:type="dxa"/>
            <w:right w:w="108" w:type="dxa"/>
          </w:tblCellMar>
        </w:tblPrEx>
        <w:trPr>
          <w:trHeight w:val="355" w:hRule="atLeast"/>
        </w:trPr>
        <w:tc>
          <w:tcPr>
            <w:tcW w:w="3050"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项  目</w:t>
            </w:r>
          </w:p>
        </w:tc>
        <w:tc>
          <w:tcPr>
            <w:tcW w:w="1950" w:type="pct"/>
            <w:vMerge w:val="restart"/>
            <w:tcBorders>
              <w:top w:val="single" w:color="000000" w:sz="4" w:space="0"/>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机关运行经费支出决算</w:t>
            </w:r>
          </w:p>
        </w:tc>
      </w:tr>
      <w:tr>
        <w:tblPrEx>
          <w:tblCellMar>
            <w:top w:w="0" w:type="dxa"/>
            <w:left w:w="108" w:type="dxa"/>
            <w:bottom w:w="0" w:type="dxa"/>
            <w:right w:w="108" w:type="dxa"/>
          </w:tblCellMar>
        </w:tblPrEx>
        <w:trPr>
          <w:trHeight w:val="630" w:hRule="atLeast"/>
        </w:trPr>
        <w:tc>
          <w:tcPr>
            <w:tcW w:w="980" w:type="pct"/>
            <w:gridSpan w:val="3"/>
            <w:tcBorders>
              <w:top w:val="nil"/>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科目编码</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科目名称</w:t>
            </w:r>
          </w:p>
        </w:tc>
        <w:tc>
          <w:tcPr>
            <w:tcW w:w="1950" w:type="pct"/>
            <w:vMerge w:val="continue"/>
            <w:tcBorders>
              <w:top w:val="single" w:color="000000" w:sz="4" w:space="0"/>
              <w:left w:val="nil"/>
              <w:bottom w:val="single" w:color="000000" w:sz="4" w:space="0"/>
              <w:right w:val="single" w:color="000000" w:sz="4" w:space="0"/>
            </w:tcBorders>
            <w:vAlign w:val="center"/>
          </w:tcPr>
          <w:p>
            <w:pPr>
              <w:spacing w:line="200" w:lineRule="auto"/>
              <w:rPr>
                <w:rFonts w:cs="Arial"/>
                <w:color w:val="000000"/>
                <w:sz w:val="22"/>
                <w:szCs w:val="22"/>
              </w:rPr>
            </w:pPr>
          </w:p>
        </w:tc>
      </w:tr>
      <w:tr>
        <w:tblPrEx>
          <w:tblCellMar>
            <w:top w:w="0" w:type="dxa"/>
            <w:left w:w="108" w:type="dxa"/>
            <w:bottom w:w="0" w:type="dxa"/>
            <w:right w:w="108" w:type="dxa"/>
          </w:tblCellMar>
        </w:tblPrEx>
        <w:trPr>
          <w:trHeight w:val="400" w:hRule="atLeast"/>
        </w:trPr>
        <w:tc>
          <w:tcPr>
            <w:tcW w:w="3050" w:type="pct"/>
            <w:gridSpan w:val="4"/>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b/>
                <w:bCs/>
                <w:color w:val="000000"/>
                <w:sz w:val="22"/>
                <w:szCs w:val="22"/>
              </w:rPr>
            </w:pPr>
            <w:r>
              <w:rPr>
                <w:rFonts w:hint="eastAsia" w:cs="Arial"/>
                <w:b/>
                <w:bCs/>
                <w:color w:val="000000"/>
                <w:sz w:val="22"/>
                <w:szCs w:val="22"/>
              </w:rPr>
              <w:t>合计</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84.31</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商品和服务支出</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80.57</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30201</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办公费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10.85</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印刷费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5.32</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30203</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咨询费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30204</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手续费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30205</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水费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30206</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电费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30207</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邮电费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1.57</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30208</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取暖费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30209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物业管理费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0.07</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30211</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差旅费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1.68</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因公出国（境）费用</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30213</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维修（护）费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4.98</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30214</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租赁费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0.12</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30215</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会议费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30216</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培训费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0.07</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30217</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公务接待费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1.03</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30218</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专用材料费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30224</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被装购置费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30225</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专用燃料费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30226</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劳务费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5.86</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30227</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委托业务费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30228</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工会经费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7.43</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30229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福利费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30231</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公务用车运行维护费</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30239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其他交通费用</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41.59</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30240</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税金及附加费用</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30299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其他商品和服务支出</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307</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债务利息及费用支出</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310</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资本性支出</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31001</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房屋建筑物购建</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办公设备购置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3.74</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31003</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专用设备购置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31005</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基础设施建设</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31006</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大型修缮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31007</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信息网络及软件购置更新</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31008</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物资储备</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31009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土地补偿</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31010</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安置补助</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31011</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地上附着物和青苗补偿</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31012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拆迁补偿</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31013</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公务用车购置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31019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其他交通工具购置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31021</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文物和陈列品购置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31022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无形资产购置</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 xml:space="preserve">  31099</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jc w:val="left"/>
              <w:rPr>
                <w:rFonts w:cs="Arial"/>
                <w:color w:val="000000"/>
                <w:sz w:val="22"/>
                <w:szCs w:val="22"/>
              </w:rPr>
            </w:pPr>
            <w:r>
              <w:rPr>
                <w:rFonts w:hint="eastAsia" w:cs="Arial"/>
                <w:color w:val="000000"/>
                <w:sz w:val="22"/>
                <w:szCs w:val="22"/>
              </w:rPr>
              <w:t xml:space="preserve">  其他资本性支出</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08" w:hRule="atLeast"/>
        </w:trPr>
        <w:tc>
          <w:tcPr>
            <w:tcW w:w="980" w:type="pct"/>
            <w:gridSpan w:val="3"/>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312</w:t>
            </w:r>
          </w:p>
        </w:tc>
        <w:tc>
          <w:tcPr>
            <w:tcW w:w="2070" w:type="pct"/>
            <w:tcBorders>
              <w:top w:val="nil"/>
              <w:left w:val="nil"/>
              <w:bottom w:val="single" w:color="000000" w:sz="4" w:space="0"/>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对企业补助</w:t>
            </w:r>
          </w:p>
        </w:tc>
        <w:tc>
          <w:tcPr>
            <w:tcW w:w="1950"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338" w:hRule="atLeast"/>
        </w:trPr>
        <w:tc>
          <w:tcPr>
            <w:tcW w:w="980" w:type="pct"/>
            <w:gridSpan w:val="3"/>
            <w:tcBorders>
              <w:top w:val="nil"/>
              <w:left w:val="single" w:color="000000" w:sz="4" w:space="0"/>
              <w:bottom w:val="nil"/>
              <w:right w:val="single" w:color="000000" w:sz="4" w:space="0"/>
            </w:tcBorders>
            <w:shd w:val="clear" w:color="FFFFFF" w:fill="FFFFFF"/>
            <w:noWrap/>
            <w:vAlign w:val="center"/>
          </w:tcPr>
          <w:p>
            <w:pPr>
              <w:spacing w:line="200" w:lineRule="auto"/>
              <w:ind w:firstLine="0"/>
              <w:jc w:val="left"/>
              <w:rPr>
                <w:rFonts w:cs="Arial"/>
                <w:b/>
                <w:bCs/>
                <w:color w:val="000000"/>
                <w:sz w:val="22"/>
                <w:szCs w:val="22"/>
              </w:rPr>
            </w:pPr>
            <w:r>
              <w:rPr>
                <w:rFonts w:hint="eastAsia" w:cs="Arial"/>
                <w:b/>
                <w:bCs/>
                <w:color w:val="000000"/>
                <w:sz w:val="22"/>
                <w:szCs w:val="22"/>
              </w:rPr>
              <w:t>399</w:t>
            </w:r>
          </w:p>
        </w:tc>
        <w:tc>
          <w:tcPr>
            <w:tcW w:w="2070" w:type="pct"/>
            <w:tcBorders>
              <w:top w:val="nil"/>
              <w:left w:val="nil"/>
              <w:bottom w:val="nil"/>
              <w:right w:val="single" w:color="000000" w:sz="4" w:space="0"/>
            </w:tcBorders>
            <w:shd w:val="clear" w:color="FFFFFF" w:fill="FFFFFF"/>
            <w:noWrap/>
            <w:vAlign w:val="center"/>
          </w:tcPr>
          <w:p>
            <w:pPr>
              <w:spacing w:line="200" w:lineRule="auto"/>
              <w:ind w:firstLine="0"/>
              <w:rPr>
                <w:rFonts w:cs="Arial"/>
                <w:b/>
                <w:bCs/>
                <w:color w:val="000000"/>
                <w:sz w:val="22"/>
                <w:szCs w:val="22"/>
              </w:rPr>
            </w:pPr>
            <w:r>
              <w:rPr>
                <w:rFonts w:hint="eastAsia" w:cs="Arial"/>
                <w:b/>
                <w:bCs/>
                <w:color w:val="000000"/>
                <w:sz w:val="22"/>
                <w:szCs w:val="22"/>
              </w:rPr>
              <w:t>其他支出</w:t>
            </w:r>
          </w:p>
        </w:tc>
        <w:tc>
          <w:tcPr>
            <w:tcW w:w="1950"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r>
      <w:tr>
        <w:tblPrEx>
          <w:tblCellMar>
            <w:top w:w="0" w:type="dxa"/>
            <w:left w:w="108" w:type="dxa"/>
            <w:bottom w:w="0" w:type="dxa"/>
            <w:right w:w="108" w:type="dxa"/>
          </w:tblCellMar>
        </w:tblPrEx>
        <w:trPr>
          <w:trHeight w:val="1230" w:hRule="atLeast"/>
        </w:trPr>
        <w:tc>
          <w:tcPr>
            <w:tcW w:w="5000" w:type="pct"/>
            <w:gridSpan w:val="5"/>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jc w:val="left"/>
              <w:rPr>
                <w:rFonts w:cs="Arial"/>
                <w:color w:val="000000"/>
                <w:sz w:val="18"/>
                <w:szCs w:val="18"/>
              </w:rPr>
            </w:pPr>
            <w:r>
              <w:rPr>
                <w:sz w:val="22"/>
              </w:rPr>
              <w:t>注：1."机关运行经费"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tc>
      </w:tr>
      <w:tr>
        <w:tblPrEx>
          <w:tblCellMar>
            <w:top w:w="0" w:type="dxa"/>
            <w:left w:w="108" w:type="dxa"/>
            <w:bottom w:w="0" w:type="dxa"/>
            <w:right w:w="108" w:type="dxa"/>
          </w:tblCellMar>
        </w:tblPrEx>
        <w:trPr>
          <w:trHeight w:val="250" w:hRule="atLeast"/>
        </w:trPr>
        <w:tc>
          <w:tcPr>
            <w:tcW w:w="32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32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327"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207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1950" w:type="pct"/>
            <w:tcBorders>
              <w:top w:val="nil"/>
              <w:left w:val="nil"/>
              <w:bottom w:val="nil"/>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r>
      <w:tr>
        <w:trPr>
          <w:trHeight w:val="260" w:hRule="atLeast"/>
        </w:trPr>
        <w:tc>
          <w:tcPr>
            <w:tcW w:w="327"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32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32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2070"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1950" w:type="pct"/>
            <w:tcBorders>
              <w:top w:val="nil"/>
              <w:left w:val="nil"/>
              <w:bottom w:val="nil"/>
              <w:right w:val="nil"/>
            </w:tcBorders>
            <w:shd w:val="clear" w:color="auto" w:fill="auto"/>
            <w:noWrap/>
            <w:vAlign w:val="bottom"/>
          </w:tcPr>
          <w:p>
            <w:pPr>
              <w:spacing w:line="200" w:lineRule="auto"/>
              <w:ind w:firstLine="0"/>
              <w:jc w:val="center"/>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szCs w:val="32"/>
        </w:rPr>
      </w:pPr>
    </w:p>
    <w:p>
      <w:pPr>
        <w:autoSpaceDE/>
        <w:autoSpaceDN/>
        <w:snapToGrid/>
        <w:spacing w:before="100" w:beforeAutospacing="1" w:after="100" w:afterAutospacing="1" w:line="550" w:lineRule="exact"/>
        <w:ind w:firstLine="0"/>
        <w:jc w:val="center"/>
        <w:rPr>
          <w:b/>
          <w:szCs w:val="32"/>
        </w:rPr>
      </w:pPr>
      <w:r>
        <w:rPr>
          <w:rFonts w:hint="eastAsia"/>
          <w:b/>
          <w:szCs w:val="32"/>
        </w:rPr>
        <w:t>政府采购支出决算表</w:t>
      </w:r>
    </w:p>
    <w:tbl>
      <w:tblPr>
        <w:tblStyle w:val="6"/>
        <w:tblW w:w="5000" w:type="pct"/>
        <w:tblInd w:w="0" w:type="dxa"/>
        <w:tblLayout w:type="autofit"/>
        <w:tblCellMar>
          <w:top w:w="0" w:type="dxa"/>
          <w:left w:w="108" w:type="dxa"/>
          <w:bottom w:w="0" w:type="dxa"/>
          <w:right w:w="108" w:type="dxa"/>
        </w:tblCellMar>
      </w:tblPr>
      <w:tblGrid>
        <w:gridCol w:w="6718"/>
        <w:gridCol w:w="6248"/>
        <w:gridCol w:w="1208"/>
      </w:tblGrid>
      <w:tr>
        <w:tblPrEx>
          <w:tblCellMar>
            <w:top w:w="0" w:type="dxa"/>
            <w:left w:w="108" w:type="dxa"/>
            <w:bottom w:w="0" w:type="dxa"/>
            <w:right w:w="108" w:type="dxa"/>
          </w:tblCellMar>
        </w:tblPrEx>
        <w:trPr>
          <w:trHeight w:val="260" w:hRule="atLeast"/>
        </w:trPr>
        <w:tc>
          <w:tcPr>
            <w:tcW w:w="2370" w:type="pct"/>
            <w:tcBorders>
              <w:top w:val="nil"/>
              <w:left w:val="nil"/>
              <w:bottom w:val="nil"/>
              <w:right w:val="nil"/>
            </w:tcBorders>
            <w:shd w:val="clear" w:color="000000" w:fill="FFFFFF"/>
            <w:noWrap/>
            <w:vAlign w:val="bottom"/>
          </w:tcPr>
          <w:p>
            <w:pPr>
              <w:widowControl/>
              <w:autoSpaceDE/>
              <w:autoSpaceDN/>
              <w:snapToGrid/>
              <w:spacing w:line="200" w:lineRule="auto"/>
              <w:ind w:firstLine="0"/>
              <w:jc w:val="left"/>
              <w:rPr>
                <w:rFonts w:ascii="Arial" w:hAnsi="Arial" w:cs="Arial"/>
                <w:color w:val="000000"/>
                <w:sz w:val="20"/>
              </w:rPr>
            </w:pPr>
            <w:r>
              <w:rPr>
                <w:rFonts w:cs="Arial"/>
                <w:color w:val="000000"/>
                <w:sz w:val="20"/>
              </w:rPr>
              <w:t>　</w:t>
            </w:r>
          </w:p>
        </w:tc>
        <w:tc>
          <w:tcPr>
            <w:tcW w:w="2204"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公开12表</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r>
      <w:tr>
        <w:tblPrEx>
          <w:tblCellMar>
            <w:top w:w="0" w:type="dxa"/>
            <w:left w:w="108" w:type="dxa"/>
            <w:bottom w:w="0" w:type="dxa"/>
            <w:right w:w="108" w:type="dxa"/>
          </w:tblCellMar>
        </w:tblPrEx>
        <w:trPr>
          <w:trHeight w:val="260" w:hRule="atLeast"/>
        </w:trPr>
        <w:tc>
          <w:tcPr>
            <w:tcW w:w="2370" w:type="pct"/>
            <w:tcBorders>
              <w:top w:val="nil"/>
              <w:left w:val="nil"/>
              <w:bottom w:val="nil"/>
              <w:right w:val="nil"/>
            </w:tcBorders>
            <w:shd w:val="clear" w:color="000000" w:fill="FFFFFF"/>
            <w:noWrap/>
            <w:vAlign w:val="bottom"/>
          </w:tcPr>
          <w:p>
            <w:pPr>
              <w:spacing w:line="200" w:lineRule="auto"/>
              <w:ind w:firstLine="0"/>
              <w:rPr>
                <w:rFonts w:cs="Arial"/>
                <w:color w:val="000000"/>
                <w:sz w:val="20"/>
              </w:rPr>
            </w:pPr>
            <w:r>
              <w:rPr>
                <w:rFonts w:hint="eastAsia" w:cs="Arial"/>
                <w:color w:val="000000"/>
                <w:sz w:val="20"/>
              </w:rPr>
              <w:t>部门名称:南京市雨花台区文旅局</w:t>
            </w:r>
          </w:p>
        </w:tc>
        <w:tc>
          <w:tcPr>
            <w:tcW w:w="2204" w:type="pct"/>
            <w:tcBorders>
              <w:top w:val="nil"/>
              <w:left w:val="nil"/>
              <w:bottom w:val="nil"/>
              <w:right w:val="nil"/>
            </w:tcBorders>
            <w:shd w:val="clear" w:color="000000" w:fill="FFFFFF"/>
            <w:noWrap/>
            <w:vAlign w:val="bottom"/>
          </w:tcPr>
          <w:p>
            <w:pPr>
              <w:spacing w:line="200" w:lineRule="auto"/>
              <w:ind w:firstLine="0"/>
              <w:jc w:val="right"/>
              <w:rPr>
                <w:rFonts w:cs="Arial"/>
                <w:color w:val="000000"/>
                <w:sz w:val="20"/>
              </w:rPr>
            </w:pPr>
            <w:r>
              <w:rPr>
                <w:rFonts w:hint="eastAsia" w:cs="Arial"/>
                <w:color w:val="000000"/>
                <w:sz w:val="20"/>
              </w:rPr>
              <w:t>金额单位：万元</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0"/>
              </w:rPr>
              <w:t>　</w:t>
            </w:r>
          </w:p>
        </w:tc>
      </w:tr>
      <w:tr>
        <w:tblPrEx>
          <w:tblCellMar>
            <w:top w:w="0" w:type="dxa"/>
            <w:left w:w="108" w:type="dxa"/>
            <w:bottom w:w="0" w:type="dxa"/>
            <w:right w:w="108" w:type="dxa"/>
          </w:tblCellMar>
        </w:tblPrEx>
        <w:trPr>
          <w:trHeight w:val="385" w:hRule="atLeast"/>
        </w:trPr>
        <w:tc>
          <w:tcPr>
            <w:tcW w:w="2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采购品目大类</w:t>
            </w:r>
          </w:p>
        </w:tc>
        <w:tc>
          <w:tcPr>
            <w:tcW w:w="2204" w:type="pct"/>
            <w:tcBorders>
              <w:top w:val="single" w:color="000000" w:sz="4" w:space="0"/>
              <w:left w:val="nil"/>
              <w:bottom w:val="single" w:color="000000" w:sz="4" w:space="0"/>
              <w:right w:val="single" w:color="000000" w:sz="4" w:space="0"/>
            </w:tcBorders>
            <w:shd w:val="clear" w:color="FFFFFF" w:fill="FFFFFF"/>
            <w:vAlign w:val="center"/>
          </w:tcPr>
          <w:p>
            <w:pPr>
              <w:spacing w:line="200" w:lineRule="auto"/>
              <w:ind w:firstLine="0"/>
              <w:jc w:val="center"/>
              <w:rPr>
                <w:rFonts w:cs="Arial"/>
                <w:color w:val="000000"/>
                <w:sz w:val="22"/>
                <w:szCs w:val="22"/>
              </w:rPr>
            </w:pPr>
            <w:r>
              <w:rPr>
                <w:rFonts w:hint="eastAsia" w:cs="Arial"/>
                <w:color w:val="000000"/>
                <w:sz w:val="22"/>
                <w:szCs w:val="22"/>
              </w:rPr>
              <w:t>金</w:t>
            </w:r>
            <w:r>
              <w:rPr>
                <w:rFonts w:hint="eastAsia" w:cs="Arial"/>
                <w:color w:val="FF0000"/>
                <w:sz w:val="22"/>
                <w:szCs w:val="22"/>
              </w:rPr>
              <w:t xml:space="preserve">   </w:t>
            </w:r>
            <w:r>
              <w:rPr>
                <w:rFonts w:hint="eastAsia" w:cs="Arial"/>
                <w:color w:val="000000"/>
                <w:sz w:val="22"/>
                <w:szCs w:val="22"/>
              </w:rPr>
              <w:t xml:space="preserve"> 额</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400" w:hRule="atLeast"/>
        </w:trPr>
        <w:tc>
          <w:tcPr>
            <w:tcW w:w="237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合</w:t>
            </w:r>
            <w:r>
              <w:rPr>
                <w:rFonts w:hint="eastAsia" w:cs="Arial"/>
                <w:color w:val="FF0000"/>
                <w:sz w:val="22"/>
                <w:szCs w:val="22"/>
              </w:rPr>
              <w:t xml:space="preserve">   </w:t>
            </w:r>
            <w:r>
              <w:rPr>
                <w:rFonts w:hint="eastAsia" w:cs="Arial"/>
                <w:color w:val="000000"/>
                <w:sz w:val="22"/>
                <w:szCs w:val="22"/>
              </w:rPr>
              <w:t>计</w:t>
            </w:r>
          </w:p>
        </w:tc>
        <w:tc>
          <w:tcPr>
            <w:tcW w:w="220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47.56</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400" w:hRule="atLeast"/>
        </w:trPr>
        <w:tc>
          <w:tcPr>
            <w:tcW w:w="237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一、政府采购货物支出</w:t>
            </w:r>
          </w:p>
        </w:tc>
        <w:tc>
          <w:tcPr>
            <w:tcW w:w="220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47.56</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400" w:hRule="atLeast"/>
        </w:trPr>
        <w:tc>
          <w:tcPr>
            <w:tcW w:w="2370" w:type="pct"/>
            <w:tcBorders>
              <w:top w:val="nil"/>
              <w:left w:val="single" w:color="000000" w:sz="4" w:space="0"/>
              <w:bottom w:val="single" w:color="000000" w:sz="4" w:space="0"/>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二、政府采购工程支出</w:t>
            </w:r>
          </w:p>
        </w:tc>
        <w:tc>
          <w:tcPr>
            <w:tcW w:w="2204" w:type="pct"/>
            <w:tcBorders>
              <w:top w:val="nil"/>
              <w:left w:val="nil"/>
              <w:bottom w:val="single" w:color="000000" w:sz="4" w:space="0"/>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400" w:hRule="atLeast"/>
        </w:trPr>
        <w:tc>
          <w:tcPr>
            <w:tcW w:w="2370" w:type="pct"/>
            <w:tcBorders>
              <w:top w:val="nil"/>
              <w:left w:val="single" w:color="000000" w:sz="4" w:space="0"/>
              <w:bottom w:val="nil"/>
              <w:right w:val="single" w:color="000000" w:sz="4" w:space="0"/>
            </w:tcBorders>
            <w:shd w:val="clear" w:color="FFFFFF" w:fill="FFFFFF"/>
            <w:noWrap/>
            <w:vAlign w:val="center"/>
          </w:tcPr>
          <w:p>
            <w:pPr>
              <w:spacing w:line="200" w:lineRule="auto"/>
              <w:ind w:firstLine="0"/>
              <w:jc w:val="center"/>
              <w:rPr>
                <w:rFonts w:cs="Arial"/>
                <w:color w:val="000000"/>
                <w:sz w:val="22"/>
                <w:szCs w:val="22"/>
              </w:rPr>
            </w:pPr>
            <w:r>
              <w:rPr>
                <w:rFonts w:hint="eastAsia" w:cs="Arial"/>
                <w:color w:val="000000"/>
                <w:sz w:val="22"/>
                <w:szCs w:val="22"/>
              </w:rPr>
              <w:t>三、政府采购服务支出</w:t>
            </w:r>
          </w:p>
        </w:tc>
        <w:tc>
          <w:tcPr>
            <w:tcW w:w="2204" w:type="pct"/>
            <w:tcBorders>
              <w:top w:val="nil"/>
              <w:left w:val="nil"/>
              <w:bottom w:val="nil"/>
              <w:right w:val="single" w:color="000000" w:sz="4" w:space="0"/>
            </w:tcBorders>
            <w:shd w:val="clear" w:color="000000" w:fill="FFFFFF"/>
            <w:noWrap/>
            <w:vAlign w:val="center"/>
          </w:tcPr>
          <w:p>
            <w:pPr>
              <w:spacing w:line="200" w:lineRule="auto"/>
              <w:ind w:firstLine="0"/>
              <w:jc w:val="left"/>
              <w:rPr>
                <w:rFonts w:cs="Arial"/>
                <w:color w:val="000000"/>
                <w:sz w:val="22"/>
                <w:szCs w:val="22"/>
              </w:rPr>
            </w:pPr>
            <w:r>
              <w:rPr>
                <w:sz w:val="22"/>
              </w:rPr>
              <w:t>0.00</w:t>
            </w:r>
          </w:p>
        </w:tc>
        <w:tc>
          <w:tcPr>
            <w:tcW w:w="427" w:type="pct"/>
            <w:tcBorders>
              <w:top w:val="nil"/>
              <w:left w:val="nil"/>
              <w:bottom w:val="nil"/>
              <w:right w:val="nil"/>
            </w:tcBorders>
            <w:shd w:val="clear" w:color="000000" w:fill="FFFFFF"/>
            <w:noWrap/>
            <w:vAlign w:val="bottom"/>
          </w:tcPr>
          <w:p>
            <w:pPr>
              <w:spacing w:line="200" w:lineRule="auto"/>
              <w:ind w:firstLine="0"/>
              <w:jc w:val="left"/>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400" w:hRule="atLeast"/>
        </w:trPr>
        <w:tc>
          <w:tcPr>
            <w:tcW w:w="4573" w:type="pct"/>
            <w:gridSpan w:val="2"/>
            <w:tcBorders>
              <w:top w:val="single" w:color="000000" w:sz="4" w:space="0"/>
              <w:left w:val="single" w:color="FFFFFF" w:sz="4" w:space="0"/>
              <w:bottom w:val="single" w:color="FFFFFF" w:sz="4" w:space="0"/>
              <w:right w:val="single" w:color="FFFFFF" w:sz="4" w:space="0"/>
            </w:tcBorders>
            <w:shd w:val="clear" w:color="000000" w:fill="FFFFFF"/>
            <w:vAlign w:val="center"/>
          </w:tcPr>
          <w:p>
            <w:pPr>
              <w:spacing w:line="200" w:lineRule="auto"/>
              <w:ind w:firstLine="0"/>
              <w:rPr>
                <w:rFonts w:cs="Arial"/>
                <w:color w:val="000000"/>
                <w:sz w:val="18"/>
                <w:szCs w:val="18"/>
              </w:rPr>
            </w:pPr>
            <w:r>
              <w:rPr>
                <w:rFonts w:hint="eastAsia" w:cs="Arial"/>
                <w:color w:val="000000"/>
                <w:sz w:val="22"/>
                <w:szCs w:val="18"/>
              </w:rPr>
              <w:t>注：政府采购支出信息为单位纳入部门预算范围的各项政府采购支出情况。</w:t>
            </w:r>
          </w:p>
        </w:tc>
        <w:tc>
          <w:tcPr>
            <w:tcW w:w="427" w:type="pct"/>
            <w:tcBorders>
              <w:top w:val="nil"/>
              <w:left w:val="nil"/>
              <w:bottom w:val="nil"/>
              <w:right w:val="single" w:color="FFFFFF" w:sz="4" w:space="0"/>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250" w:hRule="atLeast"/>
        </w:trPr>
        <w:tc>
          <w:tcPr>
            <w:tcW w:w="2370" w:type="pct"/>
            <w:tcBorders>
              <w:top w:val="nil"/>
              <w:left w:val="single" w:color="FFFFFF" w:sz="4" w:space="0"/>
              <w:bottom w:val="single" w:color="FFFFFF" w:sz="4" w:space="0"/>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2204" w:type="pct"/>
            <w:tcBorders>
              <w:top w:val="nil"/>
              <w:left w:val="nil"/>
              <w:bottom w:val="single" w:color="FFFFFF" w:sz="4" w:space="0"/>
              <w:right w:val="nil"/>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c>
          <w:tcPr>
            <w:tcW w:w="427" w:type="pct"/>
            <w:tcBorders>
              <w:top w:val="nil"/>
              <w:left w:val="nil"/>
              <w:bottom w:val="single" w:color="FFFFFF" w:sz="4" w:space="0"/>
              <w:right w:val="single" w:color="FFFFFF" w:sz="4" w:space="0"/>
            </w:tcBorders>
            <w:shd w:val="clear" w:color="000000" w:fill="FFFFFF"/>
            <w:noWrap/>
            <w:vAlign w:val="bottom"/>
          </w:tcPr>
          <w:p>
            <w:pPr>
              <w:spacing w:line="200" w:lineRule="auto"/>
              <w:ind w:firstLine="0"/>
              <w:rPr>
                <w:rFonts w:ascii="Arial" w:hAnsi="Arial" w:cs="Arial"/>
                <w:color w:val="000000"/>
                <w:sz w:val="20"/>
              </w:rPr>
            </w:pPr>
            <w:r>
              <w:rPr>
                <w:rFonts w:cs="Arial"/>
                <w:color w:val="000000"/>
                <w:sz w:val="22"/>
              </w:rPr>
              <w:t>　</w:t>
            </w:r>
          </w:p>
        </w:tc>
      </w:tr>
      <w:tr>
        <w:tblPrEx>
          <w:tblCellMar>
            <w:top w:w="0" w:type="dxa"/>
            <w:left w:w="108" w:type="dxa"/>
            <w:bottom w:w="0" w:type="dxa"/>
            <w:right w:w="108" w:type="dxa"/>
          </w:tblCellMar>
        </w:tblPrEx>
        <w:trPr>
          <w:trHeight w:val="260" w:hRule="atLeast"/>
        </w:trPr>
        <w:tc>
          <w:tcPr>
            <w:tcW w:w="2370" w:type="pct"/>
            <w:tcBorders>
              <w:top w:val="nil"/>
              <w:left w:val="nil"/>
              <w:bottom w:val="nil"/>
              <w:right w:val="nil"/>
            </w:tcBorders>
            <w:shd w:val="clear" w:color="auto" w:fill="auto"/>
            <w:noWrap/>
            <w:vAlign w:val="bottom"/>
          </w:tcPr>
          <w:p>
            <w:pPr>
              <w:spacing w:line="200" w:lineRule="auto"/>
              <w:ind w:firstLine="0"/>
              <w:rPr>
                <w:rFonts w:ascii="Arial" w:hAnsi="Arial" w:cs="Arial"/>
                <w:color w:val="000000"/>
                <w:sz w:val="20"/>
              </w:rPr>
            </w:pPr>
          </w:p>
        </w:tc>
        <w:tc>
          <w:tcPr>
            <w:tcW w:w="2204"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c>
          <w:tcPr>
            <w:tcW w:w="427" w:type="pct"/>
            <w:tcBorders>
              <w:top w:val="nil"/>
              <w:left w:val="nil"/>
              <w:bottom w:val="nil"/>
              <w:right w:val="nil"/>
            </w:tcBorders>
            <w:shd w:val="clear" w:color="auto" w:fill="auto"/>
            <w:noWrap/>
            <w:vAlign w:val="bottom"/>
          </w:tcPr>
          <w:p>
            <w:pPr>
              <w:spacing w:line="200" w:lineRule="auto"/>
              <w:ind w:firstLine="0"/>
              <w:rPr>
                <w:rFonts w:eastAsia="Times New Roman"/>
                <w:sz w:val="20"/>
              </w:rPr>
            </w:pPr>
          </w:p>
        </w:tc>
      </w:tr>
    </w:tbl>
    <w:p>
      <w:pPr>
        <w:autoSpaceDE/>
        <w:autoSpaceDN/>
        <w:snapToGrid/>
        <w:spacing w:before="100" w:beforeAutospacing="1" w:after="100" w:afterAutospacing="1" w:line="550" w:lineRule="exact"/>
        <w:ind w:firstLine="0"/>
        <w:jc w:val="center"/>
        <w:rPr>
          <w:szCs w:val="32"/>
        </w:rPr>
      </w:pPr>
    </w:p>
    <w:p>
      <w:pPr>
        <w:sectPr>
          <w:type w:val="continuous"/>
          <w:pgSz w:w="16838" w:h="11906" w:orient="landscape"/>
          <w:pgMar w:top="1797" w:right="1440" w:bottom="1797" w:left="1440" w:header="851" w:footer="992" w:gutter="0"/>
          <w:cols w:space="425" w:num="1"/>
          <w:docGrid w:type="lines" w:linePitch="312" w:charSpace="0"/>
        </w:sectPr>
      </w:pPr>
    </w:p>
    <w:p>
      <w:pPr>
        <w:spacing w:before="100" w:beforeAutospacing="1" w:after="100" w:afterAutospacing="1" w:line="550" w:lineRule="exact"/>
        <w:jc w:val="center"/>
        <w:rPr>
          <w:b/>
          <w:bCs/>
          <w:sz w:val="36"/>
        </w:rPr>
      </w:pPr>
      <w:r>
        <w:rPr>
          <w:b/>
          <w:bCs/>
          <w:sz w:val="36"/>
        </w:rPr>
        <w:t xml:space="preserve">第三部分  </w:t>
      </w:r>
      <w:r>
        <w:rPr>
          <w:b/>
          <w:bCs/>
          <w:sz w:val="36"/>
          <w:szCs w:val="36"/>
        </w:rPr>
        <w:t>2020</w:t>
      </w:r>
      <w:r>
        <w:rPr>
          <w:b/>
          <w:bCs/>
          <w:sz w:val="36"/>
        </w:rPr>
        <w:t>年度决算情况说明</w:t>
      </w:r>
    </w:p>
    <w:p>
      <w:pPr>
        <w:spacing w:line="550" w:lineRule="exact"/>
        <w:ind w:firstLine="643" w:firstLineChars="200"/>
        <w:rPr>
          <w:b/>
          <w:bCs/>
        </w:rPr>
      </w:pPr>
      <w:r>
        <w:rPr>
          <w:b/>
          <w:bCs/>
        </w:rPr>
        <w:t>一、收入支出</w:t>
      </w:r>
      <w:r>
        <w:rPr>
          <w:rFonts w:hint="eastAsia"/>
          <w:b/>
          <w:bCs/>
        </w:rPr>
        <w:t>决算</w:t>
      </w:r>
      <w:r>
        <w:rPr>
          <w:b/>
          <w:bCs/>
        </w:rPr>
        <w:t>总体情况说明</w:t>
      </w:r>
    </w:p>
    <w:p>
      <w:pPr>
        <w:spacing w:line="550" w:lineRule="exact"/>
        <w:ind w:firstLine="640" w:firstLineChars="200"/>
      </w:pPr>
      <w:r>
        <w:t xml:space="preserve">南京市雨花台区文旅局2020年度收入、支出总计5586.81万元，与上年相比收、支总计各增加335.98万元，增长6.4%。其中： </w:t>
      </w:r>
    </w:p>
    <w:p>
      <w:pPr>
        <w:spacing w:line="550" w:lineRule="exact"/>
        <w:ind w:firstLine="640" w:firstLineChars="200"/>
        <w:rPr>
          <w:bCs/>
        </w:rPr>
      </w:pPr>
      <w:r>
        <w:t>（一）收入总计5586.81万元。包括：</w:t>
      </w:r>
    </w:p>
    <w:p>
      <w:pPr>
        <w:pStyle w:val="2"/>
        <w:spacing w:before="1" w:line="550" w:lineRule="exact"/>
        <w:ind w:firstLine="640" w:firstLineChars="200"/>
      </w:pPr>
      <w:r>
        <w:t>1．一般公共预算财政拨款收入4774.49万元，为当年从同级财政取得的一般公共预算拨款，与上年相比增加590.35万元，增长14.11%。</w:t>
      </w:r>
      <w:r>
        <w:rPr>
          <w:rFonts w:hint="eastAsia"/>
          <w:lang w:eastAsia="zh-CN"/>
        </w:rPr>
        <w:t>主要原因是人员增加，项目增加，专项资金增长</w:t>
      </w:r>
      <w:r>
        <w:t xml:space="preserve">。 </w:t>
      </w:r>
    </w:p>
    <w:p>
      <w:pPr>
        <w:pStyle w:val="2"/>
        <w:spacing w:before="1" w:line="550" w:lineRule="exact"/>
        <w:ind w:firstLine="640" w:firstLineChars="200"/>
      </w:pPr>
      <w:r>
        <w:t>2．政府性基金预算财政拨款收入46.0万元，为当年从同级财政取得的政府性基金预算拨款，与上年相比增加5.0万元，增长12.2%。</w:t>
      </w:r>
      <w:r>
        <w:rPr>
          <w:rFonts w:hint="eastAsia"/>
          <w:lang w:eastAsia="zh-CN"/>
        </w:rPr>
        <w:t>主要原因是项目增加，专项资金增长</w:t>
      </w:r>
      <w:r>
        <w:t xml:space="preserve">。 </w:t>
      </w:r>
    </w:p>
    <w:p>
      <w:pPr>
        <w:spacing w:line="550" w:lineRule="exact"/>
        <w:ind w:firstLine="640" w:firstLineChars="200"/>
      </w:pPr>
      <w:r>
        <w:t>3．国有资本经营预算财政拨款收入0万元，为当年从同级财政取得的国有资本经营预算拨款，与上年决算数相同，本部门无国有资本经营预算财政拨款收入。</w:t>
      </w:r>
    </w:p>
    <w:p>
      <w:pPr>
        <w:spacing w:line="550" w:lineRule="exact"/>
        <w:ind w:firstLine="640" w:firstLineChars="200"/>
      </w:pPr>
      <w:r>
        <w:t>4. 上级补助收入0万元，与上年相比减少10.0万元。减少100%。</w:t>
      </w:r>
      <w:r>
        <w:rPr>
          <w:rFonts w:hint="eastAsia"/>
          <w:lang w:eastAsia="zh-CN"/>
        </w:rPr>
        <w:t>主要原因是当年无此项支出安排</w:t>
      </w:r>
      <w:r>
        <w:t xml:space="preserve">。 </w:t>
      </w:r>
    </w:p>
    <w:p>
      <w:pPr>
        <w:keepNext w:val="0"/>
        <w:keepLines w:val="0"/>
        <w:widowControl/>
        <w:suppressLineNumbers w:val="0"/>
        <w:jc w:val="left"/>
        <w:rPr>
          <w:rFonts w:hint="eastAsia" w:eastAsia="宋体"/>
          <w:lang w:eastAsia="zh-CN"/>
        </w:rPr>
      </w:pPr>
      <w:r>
        <w:t>5. 事业收入191.88万元，为</w:t>
      </w:r>
      <w:r>
        <w:rPr>
          <w:rFonts w:hint="eastAsia"/>
          <w:lang w:eastAsia="zh-CN"/>
        </w:rPr>
        <w:t>省网络公司雨花分公司拨付给街道及区电台</w:t>
      </w:r>
      <w:r>
        <w:rPr>
          <w:rFonts w:hint="eastAsia"/>
          <w:lang w:val="en-US" w:eastAsia="zh-CN"/>
        </w:rPr>
        <w:t>2016年-2019年的水电费，</w:t>
      </w:r>
      <w:r>
        <w:t>与上年相比增加176.22万元。增长1125.29%。</w:t>
      </w:r>
      <w:r>
        <w:rPr>
          <w:rFonts w:hint="eastAsia"/>
          <w:lang w:eastAsia="zh-CN"/>
        </w:rPr>
        <w:t>下属事业单位广播电视台业务性质发生了调整</w:t>
      </w:r>
      <w:r>
        <w:t>。</w:t>
      </w:r>
    </w:p>
    <w:p>
      <w:pPr>
        <w:spacing w:line="550" w:lineRule="exact"/>
        <w:ind w:firstLine="640" w:firstLineChars="200"/>
        <w:rPr>
          <w:rFonts w:asciiTheme="majorEastAsia" w:hAnsiTheme="majorEastAsia" w:eastAsiaTheme="majorEastAsia"/>
          <w:szCs w:val="32"/>
        </w:rPr>
      </w:pPr>
      <w:r>
        <w:t xml:space="preserve"> </w:t>
      </w:r>
      <w:bookmarkStart w:id="0" w:name="_GoBack"/>
      <w:bookmarkEnd w:id="0"/>
      <w:r>
        <w:t>6．经营收入0万元，与上年决算数相同，本部门无经营收入。</w:t>
      </w:r>
      <w:r>
        <w:rPr>
          <w:color w:val="FF0000"/>
        </w:rPr>
        <w:t xml:space="preserve">   </w:t>
      </w:r>
    </w:p>
    <w:p>
      <w:pPr>
        <w:spacing w:line="550" w:lineRule="exact"/>
        <w:ind w:firstLine="640" w:firstLineChars="200"/>
        <w:rPr>
          <w:rFonts w:asciiTheme="majorEastAsia" w:hAnsiTheme="majorEastAsia" w:eastAsiaTheme="majorEastAsia"/>
          <w:szCs w:val="32"/>
        </w:rPr>
      </w:pPr>
      <w:r>
        <w:t>7．附属单位上缴收入0万元，与上年决算数相同，本部门无附属单位上缴收入。</w:t>
      </w:r>
    </w:p>
    <w:p>
      <w:pPr>
        <w:spacing w:line="550" w:lineRule="exact"/>
        <w:ind w:firstLine="640" w:firstLineChars="200"/>
        <w:rPr>
          <w:rFonts w:asciiTheme="majorEastAsia" w:hAnsiTheme="majorEastAsia" w:eastAsiaTheme="majorEastAsia"/>
          <w:szCs w:val="32"/>
        </w:rPr>
      </w:pPr>
      <w:r>
        <w:t>8．其他收入0.74万元，为单位取得的除上述收入以外的各项收入，主要为</w:t>
      </w:r>
      <w:r>
        <w:rPr>
          <w:rFonts w:hint="eastAsia"/>
          <w:lang w:eastAsia="zh-CN"/>
        </w:rPr>
        <w:t>雨花台区人民广播电台</w:t>
      </w:r>
      <w:r>
        <w:t>取得的收入，与上年相比减少0.57万元。减少43.51%。</w:t>
      </w:r>
      <w:r>
        <w:rPr>
          <w:rFonts w:hint="eastAsia"/>
          <w:lang w:eastAsia="zh-CN"/>
        </w:rPr>
        <w:t>主要原因是专项资金的减少</w:t>
      </w:r>
      <w:r>
        <w:t xml:space="preserve">。 </w:t>
      </w:r>
    </w:p>
    <w:p>
      <w:pPr>
        <w:spacing w:line="550" w:lineRule="exact"/>
        <w:ind w:firstLine="640" w:firstLineChars="200"/>
        <w:rPr>
          <w:rFonts w:asciiTheme="majorEastAsia" w:hAnsiTheme="majorEastAsia" w:eastAsiaTheme="majorEastAsia"/>
          <w:szCs w:val="32"/>
        </w:rPr>
      </w:pPr>
      <w:r>
        <w:t>9．使用非财政拨款结余167.43万元，为事业单位使用非财政拨款结余（原事业基金）弥补当年收支差额的数额。主要为</w:t>
      </w:r>
      <w:r>
        <w:rPr>
          <w:rFonts w:hint="eastAsia"/>
          <w:lang w:eastAsia="zh-CN"/>
        </w:rPr>
        <w:t>雨花台区人民广播电台</w:t>
      </w:r>
      <w:r>
        <w:t>使用以前年度积累的非财政拨款结余（原事业基金）弥补当年收支缺口的资金。</w:t>
      </w:r>
    </w:p>
    <w:p>
      <w:pPr>
        <w:spacing w:line="550" w:lineRule="exact"/>
        <w:ind w:firstLine="640" w:firstLineChars="200"/>
      </w:pPr>
      <w:r>
        <w:t>10．年初结转和结余406.27万元，为</w:t>
      </w:r>
      <w:r>
        <w:rPr>
          <w:rFonts w:hint="eastAsia"/>
          <w:lang w:eastAsia="zh-CN"/>
        </w:rPr>
        <w:t>雨花台区文化和旅游局</w:t>
      </w:r>
      <w:r>
        <w:t>上年结转本年使用的</w:t>
      </w:r>
      <w:r>
        <w:rPr>
          <w:rFonts w:hint="eastAsia"/>
          <w:lang w:eastAsia="zh-CN"/>
        </w:rPr>
        <w:t>专项资金及</w:t>
      </w:r>
      <w:r>
        <w:rPr>
          <w:rFonts w:hint="eastAsia" w:asciiTheme="minorEastAsia" w:hAnsiTheme="minorEastAsia" w:eastAsiaTheme="minorEastAsia" w:cstheme="minorEastAsia"/>
          <w:color w:val="000000"/>
          <w:kern w:val="0"/>
          <w:sz w:val="32"/>
          <w:szCs w:val="32"/>
          <w:lang w:val="en-US" w:eastAsia="zh-CN" w:bidi="ar"/>
        </w:rPr>
        <w:t>电台以前年度网络收入</w:t>
      </w:r>
      <w:r>
        <w:t>。</w:t>
      </w:r>
    </w:p>
    <w:p>
      <w:pPr>
        <w:keepNext w:val="0"/>
        <w:keepLines w:val="0"/>
        <w:widowControl/>
        <w:suppressLineNumbers w:val="0"/>
        <w:jc w:val="left"/>
        <w:rPr>
          <w:szCs w:val="32"/>
        </w:rPr>
      </w:pPr>
      <w:r>
        <w:t>（二）支出总计5586.81万元。包括：</w:t>
      </w:r>
      <w:r>
        <w:br w:type="textWrapping"/>
      </w:r>
      <w:r>
        <w:rPr>
          <w:color w:val="FF0000"/>
        </w:rPr>
        <w:t xml:space="preserve">   </w:t>
      </w:r>
      <w:r>
        <w:t xml:space="preserve"> 1．科学技术（类）支出4.0万元，</w:t>
      </w:r>
      <w:r>
        <w:rPr>
          <w:rFonts w:hint="eastAsia"/>
          <w:lang w:eastAsia="zh-CN"/>
        </w:rPr>
        <w:t>主要用于转拨给三江学院的社科基金经费</w:t>
      </w:r>
      <w:r>
        <w:t>。与上年相比增加4.0万元。去年决算数为0无法计算增减比率。</w:t>
      </w:r>
      <w:r>
        <w:rPr>
          <w:rFonts w:hint="eastAsia"/>
          <w:lang w:eastAsia="zh-CN"/>
        </w:rPr>
        <w:t>主要原因是当年无此项支出安排</w:t>
      </w:r>
      <w:r>
        <w:t>。</w:t>
      </w:r>
      <w:r>
        <w:br w:type="textWrapping"/>
      </w:r>
      <w:r>
        <w:rPr>
          <w:color w:val="FF0000"/>
        </w:rPr>
        <w:t xml:space="preserve">   </w:t>
      </w:r>
      <w:r>
        <w:t xml:space="preserve"> 2．文化旅游体育与传媒（类）支出3981.94万元，</w:t>
      </w:r>
      <w:r>
        <w:rPr>
          <w:rFonts w:hint="eastAsia"/>
          <w:lang w:eastAsia="zh-CN"/>
        </w:rPr>
        <w:t>主要用于</w:t>
      </w:r>
      <w:r>
        <w:rPr>
          <w:rFonts w:hint="eastAsia" w:asciiTheme="minorEastAsia" w:hAnsiTheme="minorEastAsia" w:eastAsiaTheme="minorEastAsia" w:cstheme="minorEastAsia"/>
          <w:color w:val="000000"/>
          <w:kern w:val="0"/>
          <w:sz w:val="32"/>
          <w:szCs w:val="32"/>
          <w:lang w:val="en-US" w:eastAsia="zh-CN" w:bidi="ar"/>
        </w:rPr>
        <w:t>文物保护、文化惠民、全民阅读，</w:t>
      </w:r>
      <w:r>
        <w:rPr>
          <w:rFonts w:hint="eastAsia" w:asciiTheme="minorEastAsia" w:hAnsiTheme="minorEastAsia" w:eastAsiaTheme="minorEastAsia" w:cstheme="minorEastAsia"/>
          <w:sz w:val="32"/>
          <w:szCs w:val="32"/>
          <w:u w:val="none"/>
        </w:rPr>
        <w:t>行政运行,一般行政管理事务及体育训练</w:t>
      </w:r>
      <w:r>
        <w:rPr>
          <w:rFonts w:hint="eastAsia" w:asciiTheme="minorEastAsia" w:hAnsiTheme="minorEastAsia" w:eastAsiaTheme="minorEastAsia" w:cstheme="minorEastAsia"/>
          <w:sz w:val="32"/>
          <w:szCs w:val="32"/>
          <w:u w:val="none"/>
          <w:lang w:eastAsia="zh-CN"/>
        </w:rPr>
        <w:t>，</w:t>
      </w:r>
      <w:r>
        <w:rPr>
          <w:rFonts w:hint="eastAsia" w:asciiTheme="minorEastAsia" w:hAnsiTheme="minorEastAsia" w:eastAsiaTheme="minorEastAsia" w:cstheme="minorEastAsia"/>
          <w:sz w:val="32"/>
          <w:szCs w:val="32"/>
          <w:u w:val="none"/>
        </w:rPr>
        <w:t>体育场馆，群众体育费用，其他体育支出</w:t>
      </w:r>
      <w:r>
        <w:rPr>
          <w:rFonts w:hint="eastAsia" w:asciiTheme="minorEastAsia" w:hAnsiTheme="minorEastAsia" w:eastAsiaTheme="minorEastAsia" w:cstheme="minorEastAsia"/>
          <w:color w:val="000000"/>
          <w:kern w:val="0"/>
          <w:sz w:val="32"/>
          <w:szCs w:val="32"/>
          <w:lang w:val="en-US" w:eastAsia="zh-CN" w:bidi="ar"/>
        </w:rPr>
        <w:t>等</w:t>
      </w:r>
      <w:r>
        <w:t>。与上年相比增加141.47万元，增长3.68%。</w:t>
      </w:r>
      <w:r>
        <w:rPr>
          <w:rFonts w:hint="eastAsia"/>
          <w:lang w:eastAsia="zh-CN"/>
        </w:rPr>
        <w:t>主要原因是人员增加，项目增加，专项资金增长。</w:t>
      </w:r>
      <w:r>
        <w:br w:type="textWrapping"/>
      </w:r>
      <w:r>
        <w:t>。</w:t>
      </w:r>
      <w:r>
        <w:br w:type="textWrapping"/>
      </w:r>
      <w:r>
        <w:rPr>
          <w:color w:val="FF0000"/>
        </w:rPr>
        <w:t xml:space="preserve">   </w:t>
      </w:r>
      <w:r>
        <w:t xml:space="preserve"> 3．社会保障和就业（类）支出233.2万元，</w:t>
      </w:r>
      <w:r>
        <w:rPr>
          <w:rFonts w:hint="eastAsia"/>
          <w:lang w:eastAsia="zh-CN"/>
        </w:rPr>
        <w:t>主要用于退休人员费用</w:t>
      </w:r>
      <w:r>
        <w:t>。与上年相比增加122.71万元，增长111.06%。</w:t>
      </w:r>
      <w:r>
        <w:rPr>
          <w:color w:val="000000" w:themeColor="text1"/>
          <w14:textFill>
            <w14:solidFill>
              <w14:schemeClr w14:val="tx1"/>
            </w14:solidFill>
          </w14:textFill>
        </w:rPr>
        <w:t>主要原因是</w:t>
      </w:r>
      <w:r>
        <w:rPr>
          <w:rFonts w:hint="eastAsia"/>
          <w:lang w:eastAsia="zh-CN"/>
        </w:rPr>
        <w:t>人员增加，政策性调资，资金增长</w:t>
      </w:r>
      <w:r>
        <w:t>。</w:t>
      </w:r>
      <w:r>
        <w:br w:type="textWrapping"/>
      </w:r>
      <w:r>
        <w:t>。</w:t>
      </w:r>
      <w:r>
        <w:br w:type="textWrapping"/>
      </w:r>
      <w:r>
        <w:rPr>
          <w:color w:val="FF0000"/>
        </w:rPr>
        <w:t xml:space="preserve">   </w:t>
      </w:r>
      <w:r>
        <w:t xml:space="preserve"> 4．城乡社区（类）支出280.18万元，</w:t>
      </w:r>
      <w:r>
        <w:rPr>
          <w:rFonts w:hint="eastAsia"/>
          <w:lang w:eastAsia="zh-CN"/>
        </w:rPr>
        <w:t>主要用于文物保护、文物修缮等支出</w:t>
      </w:r>
      <w:r>
        <w:t>。与上年相比增加280.18万元。去年决算数为0无法计算增减比率。</w:t>
      </w:r>
      <w:r>
        <w:rPr>
          <w:rFonts w:hint="eastAsia"/>
          <w:lang w:eastAsia="zh-CN"/>
        </w:rPr>
        <w:t>主要原因是此项目经费没有做科目调整</w:t>
      </w:r>
      <w:r>
        <w:t>。</w:t>
      </w:r>
      <w:r>
        <w:br w:type="textWrapping"/>
      </w:r>
      <w:r>
        <w:rPr>
          <w:color w:val="FF0000"/>
        </w:rPr>
        <w:t xml:space="preserve">   </w:t>
      </w:r>
      <w:r>
        <w:t xml:space="preserve"> 5．住房保障（类）支出640.47万元，</w:t>
      </w:r>
      <w:r>
        <w:rPr>
          <w:rFonts w:hint="eastAsia" w:asciiTheme="minorEastAsia" w:hAnsiTheme="minorEastAsia" w:eastAsiaTheme="minorEastAsia" w:cstheme="minorEastAsia"/>
          <w:color w:val="000000"/>
          <w:kern w:val="0"/>
          <w:sz w:val="32"/>
          <w:szCs w:val="32"/>
          <w:lang w:val="en-US" w:eastAsia="zh-CN" w:bidi="ar"/>
        </w:rPr>
        <w:t>主要用于职工公积金、住房补贴</w:t>
      </w:r>
      <w:r>
        <w:t>。与上年相比增加239.69万元，增长59.81%。</w:t>
      </w:r>
      <w:r>
        <w:rPr>
          <w:color w:val="000000" w:themeColor="text1"/>
          <w14:textFill>
            <w14:solidFill>
              <w14:schemeClr w14:val="tx1"/>
            </w14:solidFill>
          </w14:textFill>
        </w:rPr>
        <w:t>主要原因是</w:t>
      </w:r>
      <w:r>
        <w:rPr>
          <w:rFonts w:hint="eastAsia"/>
          <w:lang w:eastAsia="zh-CN"/>
        </w:rPr>
        <w:t>人员增加，政策性调资，资金增长</w:t>
      </w:r>
      <w:r>
        <w:t>。</w:t>
      </w:r>
      <w:r>
        <w:br w:type="textWrapping"/>
      </w:r>
      <w:r>
        <w:rPr>
          <w:rFonts w:hint="eastAsia"/>
          <w:lang w:val="en-US" w:eastAsia="zh-CN"/>
        </w:rPr>
        <w:t xml:space="preserve">   </w:t>
      </w:r>
      <w:r>
        <w:t xml:space="preserve"> 6．其他（类）支出60.39万元，</w:t>
      </w:r>
      <w:r>
        <w:rPr>
          <w:rFonts w:hint="eastAsia"/>
          <w:lang w:eastAsia="zh-CN"/>
        </w:rPr>
        <w:t>主要用于项目活动的支出</w:t>
      </w:r>
      <w:r>
        <w:t>。与上年相比增加19.39万元，增长47.29%。</w:t>
      </w:r>
      <w:r>
        <w:rPr>
          <w:rFonts w:hint="eastAsia"/>
          <w:lang w:eastAsia="zh-CN"/>
        </w:rPr>
        <w:t>主要原因是专项资金的增加</w:t>
      </w:r>
      <w:r>
        <w:t>。</w:t>
      </w:r>
    </w:p>
    <w:p>
      <w:pPr>
        <w:spacing w:line="550" w:lineRule="exact"/>
        <w:ind w:firstLine="640" w:firstLineChars="200"/>
      </w:pPr>
      <w:r>
        <w:t>7．结余分配0万元，为单位当年结余的分配情况，与上年决算数相同，本部门无结余分配。</w:t>
      </w:r>
    </w:p>
    <w:p>
      <w:pPr>
        <w:spacing w:line="550" w:lineRule="exact"/>
        <w:ind w:firstLine="640" w:firstLineChars="200"/>
        <w:rPr>
          <w:szCs w:val="32"/>
        </w:rPr>
      </w:pPr>
      <w:r>
        <w:t>8．年末结转和结余386.63万元，主要</w:t>
      </w:r>
      <w:r>
        <w:rPr>
          <w:rFonts w:hint="eastAsia"/>
          <w:lang w:eastAsia="zh-CN"/>
        </w:rPr>
        <w:t>雨花台区文化和旅游局</w:t>
      </w:r>
      <w:r>
        <w:t>本年度预算安排的</w:t>
      </w:r>
      <w:r>
        <w:rPr>
          <w:rFonts w:hint="eastAsia"/>
          <w:lang w:eastAsia="zh-CN"/>
        </w:rPr>
        <w:t>浡泥国王墓、特色文化活动扶持，旅游发展专项经费，体育中心内部维修</w:t>
      </w:r>
      <w:r>
        <w:t>等项目无法按原计划实施，需要延迟到以后年度按有关规定使用的资金。</w:t>
      </w:r>
    </w:p>
    <w:p>
      <w:pPr>
        <w:spacing w:line="550" w:lineRule="exact"/>
        <w:ind w:firstLine="640" w:firstLineChars="200"/>
      </w:pPr>
    </w:p>
    <w:p>
      <w:pPr>
        <w:spacing w:line="550" w:lineRule="exact"/>
        <w:ind w:firstLine="643" w:firstLineChars="200"/>
        <w:rPr>
          <w:b/>
          <w:bCs/>
        </w:rPr>
      </w:pPr>
      <w:r>
        <w:rPr>
          <w:b/>
          <w:bCs/>
        </w:rPr>
        <w:t>二、收入决算情况说明</w:t>
      </w:r>
    </w:p>
    <w:p>
      <w:pPr>
        <w:spacing w:line="550" w:lineRule="exact"/>
        <w:ind w:firstLine="640" w:firstLineChars="200"/>
        <w:rPr>
          <w:szCs w:val="32"/>
        </w:rPr>
      </w:pPr>
      <w:r>
        <w:t>南京市雨花台区文旅局本年收入合计5013.11万元，其中：财政拨款收入4820.49万元，占96.16%；上级补助收入0万元，占0%；事业收入191.88万元，占3.83%；经营收入0万元，占0%；附属单位上缴收入0万元，占0%；其他收入0.74万元，占0.01%。</w:t>
      </w:r>
    </w:p>
    <w:p>
      <w:pPr>
        <w:spacing w:line="550" w:lineRule="exact"/>
        <w:ind w:firstLine="643" w:firstLineChars="200"/>
        <w:jc w:val="left"/>
        <w:rPr>
          <w:b/>
          <w:bCs/>
        </w:rPr>
      </w:pPr>
      <w:r>
        <w:rPr>
          <w:b/>
          <w:bCs/>
        </w:rPr>
        <w:t>三、支出决算情况说明</w:t>
      </w:r>
    </w:p>
    <w:p>
      <w:pPr>
        <w:spacing w:line="550" w:lineRule="exact"/>
        <w:ind w:firstLine="640" w:firstLineChars="200"/>
        <w:jc w:val="left"/>
        <w:rPr>
          <w:szCs w:val="32"/>
        </w:rPr>
      </w:pPr>
      <w:r>
        <w:t>南京市雨花台区文旅局本年支出合计5200.18万元，其中：基本支出2891.23万元，占55.6%；项目支出2308.95万元，占44.4%；经营支出0万元，占0%；对附属单位补助支出0万元，占0%。</w:t>
      </w:r>
    </w:p>
    <w:p>
      <w:pPr>
        <w:spacing w:line="550" w:lineRule="exact"/>
        <w:ind w:firstLine="643" w:firstLineChars="200"/>
        <w:rPr>
          <w:b/>
          <w:bCs/>
        </w:rPr>
      </w:pPr>
      <w:r>
        <w:rPr>
          <w:b/>
          <w:bCs/>
        </w:rPr>
        <w:t>四、财政拨款收入支出决算总体情况说明</w:t>
      </w:r>
    </w:p>
    <w:p>
      <w:pPr>
        <w:spacing w:line="550" w:lineRule="exact"/>
        <w:ind w:firstLine="640" w:firstLineChars="200"/>
      </w:pPr>
      <w:r>
        <w:t>南京市雨花台区文旅局2020年度财政拨款收、支总决算5226.76万元，与上年相比，财政拨款收、支总计各增加665.98万元，增长14.6%。</w:t>
      </w:r>
      <w:r>
        <w:rPr>
          <w:rFonts w:hint="eastAsia"/>
          <w:lang w:eastAsia="zh-CN"/>
        </w:rPr>
        <w:t>主要原因是人员增加，项目增加，专项资金增长。</w:t>
      </w:r>
      <w:r>
        <w:t xml:space="preserve"> </w:t>
      </w:r>
    </w:p>
    <w:p>
      <w:pPr>
        <w:spacing w:line="550" w:lineRule="exact"/>
        <w:ind w:firstLine="643" w:firstLineChars="200"/>
        <w:rPr>
          <w:b/>
          <w:bCs/>
        </w:rPr>
      </w:pPr>
      <w:r>
        <w:rPr>
          <w:b/>
          <w:bCs/>
        </w:rPr>
        <w:t>五、财政拨款支出决算情况说明</w:t>
      </w:r>
    </w:p>
    <w:p>
      <w:pPr>
        <w:spacing w:line="550" w:lineRule="exact"/>
        <w:ind w:firstLine="640" w:firstLineChars="200"/>
      </w:pPr>
      <w:r>
        <w:t xml:space="preserve">财政拨款支出决算反映的是一般公共预算、政府性基金 预算和国有资本经营预算财政拨款支出的总体情况，既包括 使用本年从本级财政取得的拨款发生的支出，也包括使用上 年度财政拨款结转和结余资金发生的支出。南京市雨花台区文旅局2020年财政拨款支出4840.13万元，占本年支出合计的93.08%。南京市雨花台区文旅局2020年度财政拨款支出年初预算为4827.45万元，支出决算为4840.13万元，完成年初预算的100.26%。其中： </w:t>
      </w:r>
    </w:p>
    <w:p>
      <w:pPr>
        <w:spacing w:line="550" w:lineRule="exact"/>
        <w:ind w:firstLine="640" w:firstLineChars="200"/>
      </w:pPr>
      <w:r>
        <w:rPr>
          <w:color w:val="FF0000"/>
        </w:rPr>
        <w:t xml:space="preserve">   </w:t>
      </w:r>
      <w:r>
        <w:t>（一）科学技术（类）</w:t>
      </w:r>
      <w:r>
        <w:br w:type="textWrapping"/>
      </w:r>
      <w:r>
        <w:rPr>
          <w:color w:val="FF0000"/>
        </w:rPr>
        <w:t xml:space="preserve">   </w:t>
      </w:r>
      <w:r>
        <w:t xml:space="preserve"> 1. 社会科学（款）社科基金支出（项），年初预算为0万元，支出决算为4.0万元，年初预算数为0无法计算完成比率，决算数大于预算数的</w:t>
      </w:r>
      <w:r>
        <w:rPr>
          <w:rFonts w:hint="eastAsia"/>
          <w:lang w:eastAsia="zh-CN"/>
        </w:rPr>
        <w:t>主要原因是此经费为三江学院的社科基金，下拨到我单位后，我们进行转拨，并不在年初预算安排内</w:t>
      </w:r>
      <w:r>
        <w:t>。</w:t>
      </w:r>
      <w:r>
        <w:br w:type="textWrapping"/>
      </w:r>
      <w:r>
        <w:rPr>
          <w:color w:val="FF0000"/>
        </w:rPr>
        <w:t xml:space="preserve">   </w:t>
      </w:r>
      <w:r>
        <w:t>（二）文化旅游体育与传媒（类）</w:t>
      </w:r>
      <w:r>
        <w:br w:type="textWrapping"/>
      </w:r>
      <w:r>
        <w:rPr>
          <w:color w:val="FF0000"/>
        </w:rPr>
        <w:t xml:space="preserve">   </w:t>
      </w:r>
      <w:r>
        <w:t xml:space="preserve"> 1. 文化和旅游（款）行政运行（项），年初预算为690.07万元，支出决算为944.77万元，完成年初预算的136.91%。决算数大于预算数的</w:t>
      </w:r>
      <w:r>
        <w:rPr>
          <w:rFonts w:hint="eastAsia"/>
          <w:lang w:eastAsia="zh-CN"/>
        </w:rPr>
        <w:t>主要原因是文旅局搬迁至文化大厦，人员增加，政策性调整，项目增加，专项资金增长。</w:t>
      </w:r>
      <w:r>
        <w:t xml:space="preserve"> </w:t>
      </w:r>
    </w:p>
    <w:p>
      <w:pPr>
        <w:spacing w:line="550" w:lineRule="exact"/>
        <w:ind w:firstLine="640" w:firstLineChars="200"/>
      </w:pPr>
      <w:r>
        <w:t>2. 文化和旅游（款）图书馆（项），年初预算为281.9万元，支出决算为296.63万元，完成年初预算的105.23%。决算数大于预算数的</w:t>
      </w:r>
      <w:r>
        <w:rPr>
          <w:rFonts w:hint="eastAsia"/>
          <w:lang w:eastAsia="zh-CN"/>
        </w:rPr>
        <w:t>主要原因是搬迁至文化大厦，建造新图书馆，项目增加，专项资金增长。</w:t>
      </w:r>
      <w:r>
        <w:t xml:space="preserve"> </w:t>
      </w:r>
      <w:r>
        <w:br w:type="textWrapping"/>
      </w:r>
      <w:r>
        <w:rPr>
          <w:color w:val="FF0000"/>
        </w:rPr>
        <w:t xml:space="preserve">   </w:t>
      </w:r>
      <w:r>
        <w:t xml:space="preserve"> 3. 文化和旅游（款）文化展示及纪念机构（项），年初预算为620.0万元，支出决算为129.08万元，完成年初预算的20.82%。决算数小于预算数的</w:t>
      </w:r>
      <w:r>
        <w:rPr>
          <w:rFonts w:hint="eastAsia"/>
          <w:lang w:eastAsia="zh-CN"/>
        </w:rPr>
        <w:t>主要原因是项目工程未完成结算审计，资金需结转至</w:t>
      </w:r>
      <w:r>
        <w:rPr>
          <w:rFonts w:hint="eastAsia"/>
          <w:lang w:val="en-US" w:eastAsia="zh-CN"/>
        </w:rPr>
        <w:t>2021年年初支付</w:t>
      </w:r>
      <w:r>
        <w:t>。</w:t>
      </w:r>
      <w:r>
        <w:br w:type="textWrapping"/>
      </w:r>
      <w:r>
        <w:rPr>
          <w:color w:val="FF0000"/>
        </w:rPr>
        <w:t xml:space="preserve">   </w:t>
      </w:r>
      <w:r>
        <w:t xml:space="preserve"> 4. 文化和旅游（款）文化活动（项），年初预算为420.0万元，支出决算为421.02万元，完成年初预算的100.24%。决算数大于预算数的</w:t>
      </w:r>
      <w:r>
        <w:rPr>
          <w:rFonts w:hint="eastAsia"/>
          <w:lang w:eastAsia="zh-CN"/>
        </w:rPr>
        <w:t>主要原因是项目增加，专项资金增长。</w:t>
      </w:r>
      <w:r>
        <w:t xml:space="preserve"> </w:t>
      </w:r>
    </w:p>
    <w:p>
      <w:pPr>
        <w:spacing w:line="550" w:lineRule="exact"/>
        <w:ind w:firstLine="640" w:firstLineChars="200"/>
      </w:pPr>
      <w:r>
        <w:rPr>
          <w:color w:val="FF0000"/>
        </w:rPr>
        <w:t xml:space="preserve">   </w:t>
      </w:r>
      <w:r>
        <w:t xml:space="preserve"> 5. 文化和旅游（款）群众文化（项），年初预算为221.0万元，支出决算为220.39万元，完成年初预算的99.72%。决算数小于预算数的</w:t>
      </w:r>
      <w:r>
        <w:rPr>
          <w:rFonts w:hint="eastAsia"/>
          <w:lang w:eastAsia="zh-CN"/>
        </w:rPr>
        <w:t>主要原因是工作计划有调整，因疫情等原因，部分活动未开展</w:t>
      </w:r>
      <w:r>
        <w:t>。</w:t>
      </w:r>
      <w:r>
        <w:br w:type="textWrapping"/>
      </w:r>
      <w:r>
        <w:rPr>
          <w:color w:val="FF0000"/>
        </w:rPr>
        <w:t xml:space="preserve">   </w:t>
      </w:r>
      <w:r>
        <w:t xml:space="preserve"> 6. 文化和旅游（款）文化创作与保护（项），年初预算为15.0万元，支出决算为13.9万元，完成年初预算的92.67%。决算数小于预算数的</w:t>
      </w:r>
      <w:r>
        <w:rPr>
          <w:rFonts w:hint="eastAsia"/>
          <w:lang w:eastAsia="zh-CN"/>
        </w:rPr>
        <w:t>主要原因是工作计划有调整，部分活动未开展</w:t>
      </w:r>
      <w:r>
        <w:t>。</w:t>
      </w:r>
      <w:r>
        <w:br w:type="textWrapping"/>
      </w:r>
      <w:r>
        <w:t>。</w:t>
      </w:r>
      <w:r>
        <w:br w:type="textWrapping"/>
      </w:r>
      <w:r>
        <w:rPr>
          <w:color w:val="FF0000"/>
        </w:rPr>
        <w:t xml:space="preserve">   </w:t>
      </w:r>
      <w:r>
        <w:t xml:space="preserve"> 7. 文化和旅游（款）旅游宣传（项），年初预算为0万元，支出决算为30.0万元，年初预算数为0无法计算完成比率，决算数大于预算数的</w:t>
      </w:r>
      <w:r>
        <w:rPr>
          <w:rFonts w:hint="eastAsia"/>
          <w:lang w:eastAsia="zh-CN"/>
        </w:rPr>
        <w:t>主要原因是此项目是本年度追加项目，预算未做安排</w:t>
      </w:r>
      <w:r>
        <w:t>。</w:t>
      </w:r>
      <w:r>
        <w:br w:type="textWrapping"/>
      </w:r>
      <w:r>
        <w:rPr>
          <w:color w:val="FF0000"/>
        </w:rPr>
        <w:t xml:space="preserve">   </w:t>
      </w:r>
      <w:r>
        <w:t xml:space="preserve"> 8. 文化和旅游（款）其他文化和旅游支出（项），年初预算为250.12万元，支出决算为257.16万元，完成年初预算的102.81%。决算数大于预算数的</w:t>
      </w:r>
      <w:r>
        <w:rPr>
          <w:rFonts w:hint="eastAsia"/>
          <w:lang w:eastAsia="zh-CN"/>
        </w:rPr>
        <w:t>主要原因是项目增加，专项资金增长。</w:t>
      </w:r>
      <w:r>
        <w:t xml:space="preserve"> </w:t>
      </w:r>
    </w:p>
    <w:p>
      <w:pPr>
        <w:spacing w:line="550" w:lineRule="exact"/>
        <w:ind w:firstLine="640" w:firstLineChars="200"/>
      </w:pPr>
      <w:r>
        <w:t xml:space="preserve"> 9. 文物（款）其他文物支出（项），年初预算为228.68万元，支出决算为75.37万元，完成年初预算的32.96%。决算数小于预算数的</w:t>
      </w:r>
      <w:r>
        <w:rPr>
          <w:rFonts w:hint="eastAsia"/>
          <w:lang w:eastAsia="zh-CN"/>
        </w:rPr>
        <w:t>主要原因是文物保护和修缮各项工程都在有序进行中</w:t>
      </w:r>
      <w:r>
        <w:t>。</w:t>
      </w:r>
      <w:r>
        <w:br w:type="textWrapping"/>
      </w:r>
      <w:r>
        <w:rPr>
          <w:color w:val="FF0000"/>
        </w:rPr>
        <w:t xml:space="preserve">   </w:t>
      </w:r>
      <w:r>
        <w:t xml:space="preserve"> 10. 体育（款）体育竞赛（项），年初预算为240.0万元，支出决算为197.41万元，完成年初预算的82.25%。决算数小于预算数的</w:t>
      </w:r>
      <w:r>
        <w:rPr>
          <w:rFonts w:hint="eastAsia"/>
          <w:lang w:eastAsia="zh-CN"/>
        </w:rPr>
        <w:t>主要原因是工作计划有调整，因疫情等原因，部分活动未开展</w:t>
      </w:r>
      <w:r>
        <w:t>。</w:t>
      </w:r>
      <w:r>
        <w:br w:type="textWrapping"/>
      </w:r>
      <w:r>
        <w:rPr>
          <w:color w:val="FF0000"/>
        </w:rPr>
        <w:t xml:space="preserve">   </w:t>
      </w:r>
      <w:r>
        <w:t xml:space="preserve"> 11. 体育（款）体育训练（项），年初预算为163.0万元，支出决算为84.13万元，完成年初预算的51.61%。决算数小于预算数的</w:t>
      </w:r>
      <w:r>
        <w:rPr>
          <w:rFonts w:hint="eastAsia"/>
          <w:lang w:eastAsia="zh-CN"/>
        </w:rPr>
        <w:t>主要原因是工作计划有调整，因疫情等原因，部分活动未开展</w:t>
      </w:r>
      <w:r>
        <w:t>。</w:t>
      </w:r>
      <w:r>
        <w:br w:type="textWrapping"/>
      </w:r>
      <w:r>
        <w:rPr>
          <w:color w:val="FF0000"/>
        </w:rPr>
        <w:t xml:space="preserve">   </w:t>
      </w:r>
      <w:r>
        <w:t xml:space="preserve"> 12. 体育（款）体育场馆（项），年初预算为138.0万元，支出决算为89.23万元，完成年初预算的64.66%。决算数小于预算数的</w:t>
      </w:r>
      <w:r>
        <w:rPr>
          <w:rFonts w:hint="eastAsia"/>
          <w:lang w:eastAsia="zh-CN"/>
        </w:rPr>
        <w:t>主要原因是工作计划有调整，因疫情等原因，部分工作未开展</w:t>
      </w:r>
      <w:r>
        <w:t>。</w:t>
      </w:r>
      <w:r>
        <w:br w:type="textWrapping"/>
      </w:r>
      <w:r>
        <w:rPr>
          <w:color w:val="FF0000"/>
        </w:rPr>
        <w:t xml:space="preserve">   </w:t>
      </w:r>
      <w:r>
        <w:t xml:space="preserve"> 13. 体育（款）群众体育（项），年初预算为279.98万元，支出决算为376.32万元，完成年初预算的134.41%。决算数大于预算数的决算数大于预算数的</w:t>
      </w:r>
      <w:r>
        <w:rPr>
          <w:rFonts w:hint="eastAsia"/>
          <w:lang w:eastAsia="zh-CN"/>
        </w:rPr>
        <w:t>主要原因是未完成全区高质量发展，项目增加，专项资金增长。</w:t>
      </w:r>
      <w:r>
        <w:t xml:space="preserve"> </w:t>
      </w:r>
    </w:p>
    <w:p>
      <w:pPr>
        <w:spacing w:line="550" w:lineRule="exact"/>
        <w:ind w:firstLine="640" w:firstLineChars="200"/>
      </w:pPr>
      <w:r>
        <w:t>14. 体育（款）其他体育支出（项），年初预算为220.76万元，支出决算为160.78万元，完成年初预算的72.83%。决算数小于预算数的</w:t>
      </w:r>
      <w:r>
        <w:rPr>
          <w:rFonts w:hint="eastAsia"/>
          <w:lang w:eastAsia="zh-CN"/>
        </w:rPr>
        <w:t>主要原因是工作计划有调整，因疫情等原因，部分工作未开展</w:t>
      </w:r>
      <w:r>
        <w:t>。</w:t>
      </w:r>
      <w:r>
        <w:br w:type="textWrapping"/>
      </w:r>
      <w:r>
        <w:rPr>
          <w:color w:val="FF0000"/>
        </w:rPr>
        <w:t xml:space="preserve">   </w:t>
      </w:r>
      <w:r>
        <w:t xml:space="preserve"> 15. 广播电视（款）广播（项），年初预算为351.04万元，支出决算为307.81万元，完成年初预算的87.69%。决算数小于预算数的</w:t>
      </w:r>
      <w:r>
        <w:rPr>
          <w:rFonts w:hint="eastAsia"/>
          <w:lang w:eastAsia="zh-CN"/>
        </w:rPr>
        <w:t>主要原因是工作计划有调整，因疫情等原因，部分工作未开展</w:t>
      </w:r>
      <w:r>
        <w:t>。</w:t>
      </w:r>
      <w:r>
        <w:br w:type="textWrapping"/>
      </w:r>
      <w:r>
        <w:rPr>
          <w:color w:val="FF0000"/>
        </w:rPr>
        <w:t xml:space="preserve">   </w:t>
      </w:r>
      <w:r>
        <w:t xml:space="preserve"> 16. 其他文化旅游体育与传媒支出（款）文化产业发展专项支出（项），年初预算为5.0万元，支出决算为7.89万元，完成年初预算的157.8%。决算数大于预算数的决算数大于预算数的</w:t>
      </w:r>
      <w:r>
        <w:rPr>
          <w:rFonts w:hint="eastAsia"/>
          <w:lang w:eastAsia="zh-CN"/>
        </w:rPr>
        <w:t>主要原因是项目增加，专项资金增长。</w:t>
      </w:r>
      <w:r>
        <w:t xml:space="preserve"> </w:t>
      </w:r>
    </w:p>
    <w:p>
      <w:pPr>
        <w:spacing w:line="550" w:lineRule="exact"/>
        <w:ind w:firstLine="640" w:firstLineChars="200"/>
      </w:pPr>
      <w:r>
        <w:t xml:space="preserve"> 17. 其他文化旅游体育与传媒支出（款）其他文化旅游体育与传媒支出（项），年初预算为0万元，支出决算为10.0万元，年初预算数为0无法计算完成比率，决算数大于预算数的</w:t>
      </w:r>
      <w:r>
        <w:rPr>
          <w:rFonts w:hint="eastAsia"/>
          <w:lang w:eastAsia="zh-CN"/>
        </w:rPr>
        <w:t>主要原因是项目增加，专项资金增长。</w:t>
      </w:r>
      <w:r>
        <w:t xml:space="preserve"> </w:t>
      </w:r>
      <w:r>
        <w:br w:type="textWrapping"/>
      </w:r>
      <w:r>
        <w:rPr>
          <w:color w:val="FF0000"/>
        </w:rPr>
        <w:t xml:space="preserve">   </w:t>
      </w:r>
      <w:r>
        <w:t>（三）社会保障和就业（类）</w:t>
      </w:r>
      <w:r>
        <w:br w:type="textWrapping"/>
      </w:r>
      <w:r>
        <w:rPr>
          <w:color w:val="FF0000"/>
        </w:rPr>
        <w:t xml:space="preserve">   </w:t>
      </w:r>
      <w:r>
        <w:t xml:space="preserve"> 1. 人力资源和社会保障管理事务（款）一般行政管理事务（项），年初预算为0万元，支出决算为0.03万元，年初预算数为0无法计算完成比率，决算数大于预算数的</w:t>
      </w:r>
      <w:r>
        <w:rPr>
          <w:rFonts w:hint="eastAsia"/>
          <w:lang w:eastAsia="zh-CN"/>
        </w:rPr>
        <w:t>原因是人员增加，资金增长。</w:t>
      </w:r>
      <w:r>
        <w:t xml:space="preserve"> </w:t>
      </w:r>
      <w:r>
        <w:br w:type="textWrapping"/>
      </w:r>
      <w:r>
        <w:rPr>
          <w:color w:val="FF0000"/>
        </w:rPr>
        <w:t xml:space="preserve">   </w:t>
      </w:r>
      <w:r>
        <w:t xml:space="preserve"> 2. 行政事业单位养老支出（款）行政单位离退休（项），年初预算为201.39万元，支出决算为97.1万元，完成年初预算的48.21%。决算数小于预算数的</w:t>
      </w:r>
      <w:r>
        <w:rPr>
          <w:rFonts w:hint="eastAsia"/>
          <w:lang w:eastAsia="zh-CN"/>
        </w:rPr>
        <w:t>主要原因是人员减少，政策性调整</w:t>
      </w:r>
      <w:r>
        <w:t>。</w:t>
      </w:r>
      <w:r>
        <w:br w:type="textWrapping"/>
      </w:r>
      <w:r>
        <w:rPr>
          <w:color w:val="FF0000"/>
        </w:rPr>
        <w:t xml:space="preserve">   </w:t>
      </w:r>
      <w:r>
        <w:t xml:space="preserve"> 3. 行政事业单位养老支出（款）事业单位离退休（项），年初预算为3.91万元，支出决算为123.72万元，完成年初预算的3164.19%。决算数大于预算数的</w:t>
      </w:r>
      <w:r>
        <w:rPr>
          <w:rFonts w:hint="eastAsia"/>
          <w:lang w:eastAsia="zh-CN"/>
        </w:rPr>
        <w:t>主要原因是人员增加，政策性调资</w:t>
      </w:r>
      <w:r>
        <w:t>。</w:t>
      </w:r>
      <w:r>
        <w:br w:type="textWrapping"/>
      </w:r>
      <w:r>
        <w:rPr>
          <w:color w:val="FF0000"/>
        </w:rPr>
        <w:t xml:space="preserve">   </w:t>
      </w:r>
      <w:r>
        <w:t xml:space="preserve"> 4. 其他社会保障和就业支出（款）其他社会保障和就业支出（项），年初预算为0万元，支出决算为12.35万元，年初预算数为0无法计算完成比率，决算数大于预算数的</w:t>
      </w:r>
      <w:r>
        <w:rPr>
          <w:color w:val="000000" w:themeColor="text1"/>
          <w14:textFill>
            <w14:solidFill>
              <w14:schemeClr w14:val="tx1"/>
            </w14:solidFill>
          </w14:textFill>
        </w:rPr>
        <w:t>主要原因是</w:t>
      </w:r>
      <w:r>
        <w:rPr>
          <w:rFonts w:hint="eastAsia"/>
          <w:color w:val="000000" w:themeColor="text1"/>
          <w:lang w:eastAsia="zh-CN"/>
          <w14:textFill>
            <w14:solidFill>
              <w14:schemeClr w14:val="tx1"/>
            </w14:solidFill>
          </w14:textFill>
        </w:rPr>
        <w:t>人员增加导致资金增长</w:t>
      </w:r>
      <w:r>
        <w:t>。</w:t>
      </w:r>
      <w:r>
        <w:br w:type="textWrapping"/>
      </w:r>
      <w:r>
        <w:rPr>
          <w:color w:val="FF0000"/>
        </w:rPr>
        <w:t xml:space="preserve">   </w:t>
      </w:r>
      <w:r>
        <w:t>（四）城乡社区（类）</w:t>
      </w:r>
      <w:r>
        <w:br w:type="textWrapping"/>
      </w:r>
      <w:r>
        <w:rPr>
          <w:color w:val="FF0000"/>
        </w:rPr>
        <w:t xml:space="preserve">   </w:t>
      </w:r>
      <w:r>
        <w:t xml:space="preserve"> 1. 其他城乡社区支出（款）其他城乡社区支出（项），年初预算为0万元，支出决算为280.18万元，年初预算数为0无法计算完成比率，决算数大于预算数的</w:t>
      </w:r>
      <w:r>
        <w:rPr>
          <w:rFonts w:hint="eastAsia"/>
          <w:lang w:eastAsia="zh-CN"/>
        </w:rPr>
        <w:t>主要原因是科目未做相应调整</w:t>
      </w:r>
      <w:r>
        <w:t>。</w:t>
      </w:r>
      <w:r>
        <w:br w:type="textWrapping"/>
      </w:r>
      <w:r>
        <w:rPr>
          <w:color w:val="FF0000"/>
        </w:rPr>
        <w:t xml:space="preserve">   </w:t>
      </w:r>
      <w:r>
        <w:t>（五）住房保障（类）</w:t>
      </w:r>
      <w:r>
        <w:br w:type="textWrapping"/>
      </w:r>
      <w:r>
        <w:rPr>
          <w:color w:val="FF0000"/>
        </w:rPr>
        <w:t xml:space="preserve">   </w:t>
      </w:r>
      <w:r>
        <w:t xml:space="preserve"> 1. 住房改革支出（款）住房公积金（项），年初预算为157.14万元，支出决算为200.69万元，完成年初预算的127.71%。决算数大于预算数的</w:t>
      </w:r>
      <w:r>
        <w:rPr>
          <w:color w:val="000000" w:themeColor="text1"/>
          <w14:textFill>
            <w14:solidFill>
              <w14:schemeClr w14:val="tx1"/>
            </w14:solidFill>
          </w14:textFill>
        </w:rPr>
        <w:t>主要原因是</w:t>
      </w:r>
      <w:r>
        <w:rPr>
          <w:rFonts w:hint="eastAsia"/>
          <w:color w:val="000000" w:themeColor="text1"/>
          <w:lang w:eastAsia="zh-CN"/>
          <w14:textFill>
            <w14:solidFill>
              <w14:schemeClr w14:val="tx1"/>
            </w14:solidFill>
          </w14:textFill>
        </w:rPr>
        <w:t>人员增加，政策性调整，导致资金增长。</w:t>
      </w:r>
      <w:r>
        <w:br w:type="textWrapping"/>
      </w:r>
      <w:r>
        <w:rPr>
          <w:color w:val="FF0000"/>
        </w:rPr>
        <w:t xml:space="preserve">   </w:t>
      </w:r>
      <w:r>
        <w:t xml:space="preserve"> 2. 住房改革支出（款）提租补贴（项），年初预算为260.69万元，支出决算为348.91万元，完成年初预算的133.84%。决算数大于预算数的</w:t>
      </w:r>
      <w:r>
        <w:rPr>
          <w:color w:val="000000" w:themeColor="text1"/>
          <w14:textFill>
            <w14:solidFill>
              <w14:schemeClr w14:val="tx1"/>
            </w14:solidFill>
          </w14:textFill>
        </w:rPr>
        <w:t>主要原因是</w:t>
      </w:r>
      <w:r>
        <w:rPr>
          <w:rFonts w:hint="eastAsia"/>
          <w:color w:val="000000" w:themeColor="text1"/>
          <w:lang w:eastAsia="zh-CN"/>
          <w14:textFill>
            <w14:solidFill>
              <w14:schemeClr w14:val="tx1"/>
            </w14:solidFill>
          </w14:textFill>
        </w:rPr>
        <w:t>人员增加，政策性调整，导致资金增长。</w:t>
      </w:r>
      <w:r>
        <w:br w:type="textWrapping"/>
      </w:r>
      <w:r>
        <w:rPr>
          <w:color w:val="FF0000"/>
        </w:rPr>
        <w:t xml:space="preserve">   </w:t>
      </w:r>
      <w:r>
        <w:t xml:space="preserve"> 3. 住房改革支出（款）购房补贴（项），年初预算为79.76万元，支出决算为90.87万元，完成年初预算的113.93%。决算数大于预算数的</w:t>
      </w:r>
      <w:r>
        <w:rPr>
          <w:color w:val="000000" w:themeColor="text1"/>
          <w14:textFill>
            <w14:solidFill>
              <w14:schemeClr w14:val="tx1"/>
            </w14:solidFill>
          </w14:textFill>
        </w:rPr>
        <w:t>主要原因是</w:t>
      </w:r>
      <w:r>
        <w:rPr>
          <w:rFonts w:hint="eastAsia"/>
          <w:color w:val="000000" w:themeColor="text1"/>
          <w:lang w:eastAsia="zh-CN"/>
          <w14:textFill>
            <w14:solidFill>
              <w14:schemeClr w14:val="tx1"/>
            </w14:solidFill>
          </w14:textFill>
        </w:rPr>
        <w:t>人员增加，政策性调整，导致资金增长。</w:t>
      </w:r>
      <w:r>
        <w:br w:type="textWrapping"/>
      </w:r>
      <w:r>
        <w:rPr>
          <w:color w:val="FF0000"/>
        </w:rPr>
        <w:t xml:space="preserve">   </w:t>
      </w:r>
      <w:r>
        <w:t>（六）其他（类）</w:t>
      </w:r>
      <w:r>
        <w:br w:type="textWrapping"/>
      </w:r>
      <w:r>
        <w:rPr>
          <w:color w:val="FF0000"/>
        </w:rPr>
        <w:t xml:space="preserve">   </w:t>
      </w:r>
      <w:r>
        <w:t xml:space="preserve"> 1. 彩票公益金安排的支出（款）用于体育事业的彩票公益金支出（项），年初预算为0万元，支出决算为41.0万元，年初预算数为0无法计算完成比率，决算数大于预算数的</w:t>
      </w:r>
      <w:r>
        <w:rPr>
          <w:rFonts w:hint="eastAsia"/>
          <w:lang w:eastAsia="zh-CN"/>
        </w:rPr>
        <w:t>主要原因是此经费为市里拨付的奖补资金，不在预算安排内</w:t>
      </w:r>
      <w:r>
        <w:t>。</w:t>
      </w:r>
      <w:r>
        <w:br w:type="textWrapping"/>
      </w:r>
      <w:r>
        <w:rPr>
          <w:color w:val="FF0000"/>
        </w:rPr>
        <w:t xml:space="preserve">   </w:t>
      </w:r>
      <w:r>
        <w:t xml:space="preserve"> 2. 其他支出（款）其他支出（项），年初预算为0万元，支出决算为19.39万元，年初预算数为0无法计算完成比率，决算数大于预算数的</w:t>
      </w:r>
      <w:r>
        <w:rPr>
          <w:rFonts w:hint="eastAsia"/>
          <w:lang w:eastAsia="zh-CN"/>
        </w:rPr>
        <w:t>主要原因是未在预算中做此经费的安排</w:t>
      </w:r>
      <w:r>
        <w:t>。</w:t>
      </w:r>
      <w:r>
        <w:br w:type="textWrapping"/>
      </w:r>
    </w:p>
    <w:p>
      <w:pPr>
        <w:spacing w:line="550" w:lineRule="exact"/>
        <w:ind w:left="220" w:firstLine="420"/>
        <w:rPr>
          <w:b/>
          <w:bCs/>
        </w:rPr>
      </w:pPr>
      <w:r>
        <w:rPr>
          <w:b/>
          <w:bCs/>
        </w:rPr>
        <w:t>六、财政拨款基本支出决算情况说明</w:t>
      </w:r>
    </w:p>
    <w:p>
      <w:pPr>
        <w:spacing w:line="550" w:lineRule="exact"/>
        <w:ind w:firstLine="640" w:firstLineChars="200"/>
      </w:pPr>
      <w:r>
        <w:t>南京市雨花台区文旅局2020年年度财政拨款基本支出2531.18万元，其中：</w:t>
      </w:r>
      <w:r>
        <w:br w:type="textWrapping"/>
      </w:r>
      <w:r>
        <w:rPr>
          <w:color w:val="FF0000"/>
        </w:rPr>
        <w:t xml:space="preserve">   </w:t>
      </w:r>
      <w:r>
        <w:t xml:space="preserve"> （一）人员经费2392.92万元。主要包括：基本工资、津贴补贴、奖金、伙食补助费、绩效工资、机关事业单位基本养老保险缴费、职业年金缴费、职工基本医疗保险缴费、住房公积金、医疗费、其他工资福利支出、离休费、退休费、抚恤金、生活补助、医疗费补助、其他对个人和家庭的补助。</w:t>
      </w:r>
      <w:r>
        <w:br w:type="textWrapping"/>
      </w:r>
      <w:r>
        <w:rPr>
          <w:color w:val="FF0000"/>
        </w:rPr>
        <w:t xml:space="preserve">   </w:t>
      </w:r>
      <w:r>
        <w:t xml:space="preserve"> （二）公用经费138.26万元。主要包括：办公费、印刷费、水费、电费、邮电费、物业管理费、差旅费、维修（护）费、租赁费、培训费、公务接待费、劳务费、委托业务费、工会经费、福利费、公务用车运行维护费、其他交通费用、其他商品和服务支出、办公设备购置。</w:t>
      </w:r>
    </w:p>
    <w:p>
      <w:pPr>
        <w:spacing w:line="550" w:lineRule="exact"/>
        <w:ind w:firstLine="643" w:firstLineChars="200"/>
        <w:rPr>
          <w:b/>
          <w:bCs/>
        </w:rPr>
      </w:pPr>
      <w:r>
        <w:rPr>
          <w:b/>
          <w:bCs/>
        </w:rPr>
        <w:t>七、一般公共预算财政拨款支出决算情况说明</w:t>
      </w:r>
    </w:p>
    <w:p>
      <w:pPr>
        <w:spacing w:line="550" w:lineRule="exact"/>
        <w:ind w:firstLine="640" w:firstLineChars="200"/>
      </w:pPr>
      <w: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南京市雨花台区文旅局2020年一般公共预算财政拨款支出4799.13万元，与上年相比增加1129.37万元，增长30.78%。</w:t>
      </w:r>
      <w:r>
        <w:rPr>
          <w:rFonts w:hint="eastAsia"/>
          <w:lang w:eastAsia="zh-CN"/>
        </w:rPr>
        <w:t>主要原因是文旅局搬迁至文化大厦，人员增加，政策性调整，项目增加，专项资金增长。</w:t>
      </w:r>
      <w:r>
        <w:t xml:space="preserve"> </w:t>
      </w:r>
    </w:p>
    <w:p>
      <w:pPr>
        <w:spacing w:line="550" w:lineRule="exact"/>
        <w:ind w:firstLine="640" w:firstLineChars="200"/>
      </w:pPr>
    </w:p>
    <w:p>
      <w:pPr>
        <w:spacing w:line="550" w:lineRule="exact"/>
        <w:ind w:firstLine="643" w:firstLineChars="200"/>
        <w:rPr>
          <w:b/>
          <w:bCs/>
        </w:rPr>
      </w:pPr>
      <w:r>
        <w:rPr>
          <w:b/>
          <w:bCs/>
        </w:rPr>
        <w:t>八、一般公共预算财政拨款基本支出决算情况说明</w:t>
      </w:r>
    </w:p>
    <w:p>
      <w:pPr>
        <w:spacing w:line="550" w:lineRule="exact"/>
        <w:ind w:firstLine="640" w:firstLineChars="200"/>
      </w:pPr>
      <w:r>
        <w:t>南京市雨花台区文旅局2020年度一般公共预算财政拨款基本支出2531.18万元，其中：</w:t>
      </w:r>
      <w:r>
        <w:br w:type="textWrapping"/>
      </w:r>
      <w:r>
        <w:rPr>
          <w:color w:val="FF0000"/>
        </w:rPr>
        <w:t xml:space="preserve">   </w:t>
      </w:r>
      <w:r>
        <w:t xml:space="preserve"> （一）人员经费2392.92万元。主要包括：基本工资、津贴补贴、奖金、伙食补助费、绩效工资、机关事业单位基本养老保险缴费、职业年金缴费、职工基本医疗保险缴费、住房公积金、医疗费、其他工资福利支出、离休费、退休费、抚恤金、生活补助、医疗费补助、其他对个人和家庭的补助。</w:t>
      </w:r>
      <w:r>
        <w:br w:type="textWrapping"/>
      </w:r>
      <w:r>
        <w:rPr>
          <w:color w:val="FF0000"/>
        </w:rPr>
        <w:t xml:space="preserve">   </w:t>
      </w:r>
      <w:r>
        <w:t xml:space="preserve"> （二）公用经费138.26万元。主要包括：办公费、印刷费、水费、电费、邮电费、物业管理费、差旅费、维修（护）费、租赁费、培训费、公务接待费、劳务费、委托业务费、工会经费、福利费、公务用车运行维护费、其他交通费用、其他商品和服务支出、办公设备购置。</w:t>
      </w:r>
    </w:p>
    <w:p>
      <w:pPr>
        <w:spacing w:line="550" w:lineRule="exact"/>
        <w:ind w:firstLine="643" w:firstLineChars="200"/>
        <w:rPr>
          <w:b/>
          <w:bCs/>
        </w:rPr>
      </w:pPr>
      <w:r>
        <w:rPr>
          <w:b/>
          <w:bCs/>
        </w:rPr>
        <w:t>九、一般公共预算财政拨款“三公”经费、会议费、培训费支出情况说明</w:t>
      </w:r>
    </w:p>
    <w:p>
      <w:pPr>
        <w:spacing w:line="550" w:lineRule="exact"/>
        <w:ind w:firstLine="640" w:firstLineChars="200"/>
      </w:pPr>
      <w:r>
        <w:t>南京市雨花台区文旅局2020年度一般公共预算拨款安排的“三公”经费决算支出中，因公出国（境）费支出0万元，占“三公”经费的0%；公务用车购置及运行维护费支出1.52万元，占“三公”经费的37.62%；公务接待费支出2.52万元，占“三公”经费的62.38%。具体情况如下：</w:t>
      </w:r>
    </w:p>
    <w:p>
      <w:pPr>
        <w:numPr>
          <w:ilvl w:val="0"/>
          <w:numId w:val="2"/>
        </w:numPr>
        <w:spacing w:line="550" w:lineRule="exact"/>
        <w:ind w:firstLine="640" w:firstLineChars="200"/>
      </w:pPr>
      <w:r>
        <w:t>因公出国（境）费决算支出0万元，年初预算数为0无法计算完成比率，与本年预算数相同。比上年决算减少1.57万元，</w:t>
      </w:r>
      <w:r>
        <w:rPr>
          <w:rFonts w:hint="eastAsia"/>
          <w:lang w:eastAsia="zh-CN"/>
        </w:rPr>
        <w:t>主要原因是今年无此项支出安排</w:t>
      </w:r>
      <w:r>
        <w:t>全年使用一般公共预算拨款支出安排的出国（境）团组0个，累计0人次。</w:t>
      </w:r>
    </w:p>
    <w:p>
      <w:pPr>
        <w:numPr>
          <w:ilvl w:val="0"/>
          <w:numId w:val="0"/>
        </w:numPr>
        <w:spacing w:line="550" w:lineRule="exact"/>
        <w:ind w:firstLine="640" w:firstLineChars="200"/>
      </w:pPr>
      <w:r>
        <w:t>2．公务用车购置及运行维护费支出1.52万元。其中：</w:t>
      </w:r>
    </w:p>
    <w:p>
      <w:pPr>
        <w:spacing w:line="550" w:lineRule="exact"/>
        <w:ind w:firstLine="640" w:firstLineChars="200"/>
        <w:rPr>
          <w:rFonts w:hint="eastAsia"/>
          <w:szCs w:val="32"/>
          <w:lang w:eastAsia="zh-CN"/>
        </w:rPr>
      </w:pPr>
      <w:r>
        <w:t>（1）公务用车购置决算支出0万元，年初预算数为0无法计算完成比率，与本年预算数相同。</w:t>
      </w:r>
      <w:r>
        <w:rPr>
          <w:szCs w:val="32"/>
        </w:rPr>
        <w:t>主要原因</w:t>
      </w:r>
      <w:r>
        <w:rPr>
          <w:rFonts w:hint="eastAsia"/>
          <w:szCs w:val="32"/>
          <w:lang w:eastAsia="zh-CN"/>
        </w:rPr>
        <w:t>为没有公务用车购置。</w:t>
      </w:r>
    </w:p>
    <w:p>
      <w:pPr>
        <w:spacing w:line="550" w:lineRule="exact"/>
        <w:ind w:firstLine="640" w:firstLineChars="200"/>
      </w:pPr>
      <w:r>
        <w:t>（2）公务用车运行维护费决算支出1.52万元，完成预算的30.4%，比上年决算减少0.05万元，</w:t>
      </w:r>
      <w:r>
        <w:rPr>
          <w:rFonts w:hint="eastAsia"/>
          <w:lang w:eastAsia="zh-CN"/>
        </w:rPr>
        <w:t>主要原因是提倡节能减排</w:t>
      </w:r>
      <w:r>
        <w:t>；决算数小于预算数的</w:t>
      </w:r>
      <w:r>
        <w:rPr>
          <w:rFonts w:hint="eastAsia"/>
          <w:lang w:eastAsia="zh-CN"/>
        </w:rPr>
        <w:t>主要原因是提倡节能减排</w:t>
      </w:r>
      <w:r>
        <w:t>。公务用车运行维护费</w:t>
      </w:r>
      <w:r>
        <w:rPr>
          <w:rFonts w:hint="eastAsia" w:asciiTheme="minorEastAsia" w:hAnsiTheme="minorEastAsia" w:eastAsiaTheme="minorEastAsia" w:cstheme="minorEastAsia"/>
          <w:color w:val="000000"/>
          <w:kern w:val="0"/>
          <w:sz w:val="32"/>
          <w:szCs w:val="32"/>
          <w:lang w:val="en-US" w:eastAsia="zh-CN" w:bidi="ar"/>
        </w:rPr>
        <w:t>主要用于文化执法、新闻采访</w:t>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020</w:t>
      </w:r>
      <w:r>
        <w:rPr>
          <w:rFonts w:hint="eastAsia" w:asciiTheme="minorEastAsia" w:hAnsiTheme="minorEastAsia" w:eastAsiaTheme="minorEastAsia" w:cstheme="minorEastAsia"/>
          <w:sz w:val="32"/>
          <w:szCs w:val="32"/>
        </w:rPr>
        <w:t>年使</w:t>
      </w:r>
      <w:r>
        <w:t>用一般公共预算拨款开支运行维护费的公务用车保有量1辆。</w:t>
      </w:r>
    </w:p>
    <w:p>
      <w:pPr>
        <w:spacing w:line="550" w:lineRule="exact"/>
        <w:ind w:firstLine="640" w:firstLineChars="200"/>
      </w:pPr>
      <w:r>
        <w:t>3．公务接待费2.52万元，完成预算的42.93%，比上年决算减少0.56万元，</w:t>
      </w:r>
      <w:r>
        <w:rPr>
          <w:rFonts w:hint="eastAsia" w:asciiTheme="minorEastAsia" w:hAnsiTheme="minorEastAsia" w:eastAsiaTheme="minorEastAsia" w:cstheme="minorEastAsia"/>
          <w:sz w:val="32"/>
          <w:szCs w:val="32"/>
          <w:u w:val="none"/>
          <w:lang w:eastAsia="zh-CN"/>
        </w:rPr>
        <w:t>是加大公务接待管理力度，减少公务接待批次，降低接待标准</w:t>
      </w:r>
      <w:r>
        <w:t>；</w:t>
      </w:r>
      <w:r>
        <w:rPr>
          <w:rFonts w:hint="eastAsia" w:asciiTheme="minorEastAsia" w:hAnsiTheme="minorEastAsia" w:eastAsiaTheme="minorEastAsia" w:cstheme="minorEastAsia"/>
          <w:sz w:val="32"/>
          <w:szCs w:val="32"/>
          <w:u w:val="none"/>
        </w:rPr>
        <w:t>主要原因</w:t>
      </w:r>
      <w:r>
        <w:rPr>
          <w:rFonts w:hint="eastAsia" w:asciiTheme="minorEastAsia" w:hAnsiTheme="minorEastAsia" w:eastAsiaTheme="minorEastAsia" w:cstheme="minorEastAsia"/>
          <w:sz w:val="32"/>
          <w:szCs w:val="32"/>
          <w:u w:val="none"/>
          <w:lang w:eastAsia="zh-CN"/>
        </w:rPr>
        <w:t>是加大公务接待管理力度，减少公务接待批次，降低接待标准</w:t>
      </w:r>
      <w:r>
        <w:t>。其中：国内公务接待支出2.52万元，接待22批次，215人次，主要</w:t>
      </w:r>
      <w:r>
        <w:rPr>
          <w:rFonts w:hint="eastAsia" w:asciiTheme="minorEastAsia" w:hAnsiTheme="minorEastAsia" w:eastAsiaTheme="minorEastAsia" w:cstheme="minorEastAsia"/>
          <w:sz w:val="32"/>
          <w:szCs w:val="32"/>
          <w:u w:val="none"/>
        </w:rPr>
        <w:t>为</w:t>
      </w:r>
      <w:r>
        <w:rPr>
          <w:rFonts w:hint="eastAsia" w:asciiTheme="minorEastAsia" w:hAnsiTheme="minorEastAsia" w:eastAsiaTheme="minorEastAsia" w:cstheme="minorEastAsia"/>
          <w:sz w:val="32"/>
          <w:szCs w:val="32"/>
          <w:u w:val="none"/>
          <w:lang w:eastAsia="zh-CN"/>
        </w:rPr>
        <w:t>接待</w:t>
      </w:r>
      <w:r>
        <w:rPr>
          <w:rFonts w:hint="eastAsia" w:asciiTheme="minorEastAsia" w:hAnsiTheme="minorEastAsia" w:eastAsiaTheme="minorEastAsia" w:cstheme="minorEastAsia"/>
          <w:sz w:val="32"/>
          <w:szCs w:val="32"/>
          <w:u w:val="none"/>
        </w:rPr>
        <w:t>组织活动，接待市局省局参观学习调研等</w:t>
      </w:r>
      <w:r>
        <w:t>；国（境）外公务接待支出0万元，接待0批次，0人次。</w:t>
      </w:r>
    </w:p>
    <w:p>
      <w:pPr>
        <w:spacing w:line="550" w:lineRule="exact"/>
        <w:ind w:firstLine="640" w:firstLineChars="200"/>
      </w:pPr>
      <w:r>
        <w:t>南京市雨花台区文旅局2020年度一般公共预算拨款安排的会议费决算支出0.62万元，完成预算的5.66%，比上年决算减少0.24万元</w:t>
      </w:r>
      <w:r>
        <w:rPr>
          <w:rFonts w:hint="eastAsia"/>
          <w:lang w:eastAsia="zh-CN"/>
        </w:rPr>
        <w:t>主要原因精减会议，减少支出</w:t>
      </w:r>
      <w:r>
        <w:t>；决算数小于预算数的</w:t>
      </w:r>
      <w:r>
        <w:rPr>
          <w:rFonts w:hint="eastAsia"/>
          <w:lang w:eastAsia="zh-CN"/>
        </w:rPr>
        <w:t>主要原因是精减会议，减少支出</w:t>
      </w:r>
      <w:r>
        <w:t>。2020年度全年召开会议5个，参加会议100人次。主要为召开</w:t>
      </w:r>
      <w:r>
        <w:rPr>
          <w:rFonts w:hint="eastAsia"/>
          <w:lang w:eastAsia="zh-CN"/>
        </w:rPr>
        <w:t>浡泥国王墓，特色文化项目布置会，群众体育年终总结会等</w:t>
      </w:r>
      <w:r>
        <w:t>。</w:t>
      </w:r>
    </w:p>
    <w:p>
      <w:pPr>
        <w:keepNext w:val="0"/>
        <w:keepLines w:val="0"/>
        <w:widowControl/>
        <w:suppressLineNumbers w:val="0"/>
        <w:ind w:left="0" w:leftChars="0" w:firstLine="640" w:firstLineChars="200"/>
        <w:jc w:val="left"/>
        <w:rPr>
          <w:rFonts w:hint="eastAsia" w:asciiTheme="minorEastAsia" w:hAnsiTheme="minorEastAsia" w:eastAsiaTheme="minorEastAsia" w:cstheme="minorEastAsia"/>
          <w:sz w:val="32"/>
          <w:szCs w:val="32"/>
          <w:u w:val="none"/>
        </w:rPr>
      </w:pPr>
      <w:r>
        <w:t>南京市雨花台区文旅局2020年度一般公共预算拨款安排的培训费决算支出0.47万元，完成预算的3.89%，比上年决算减少1.79万元，</w:t>
      </w:r>
      <w:r>
        <w:rPr>
          <w:rFonts w:hint="eastAsia"/>
          <w:lang w:eastAsia="zh-CN"/>
        </w:rPr>
        <w:t>主要原因是精减培训，完善培训制度，减少支出</w:t>
      </w:r>
      <w:r>
        <w:t>；决算数小于预算数的</w:t>
      </w:r>
      <w:r>
        <w:rPr>
          <w:rFonts w:hint="eastAsia"/>
          <w:lang w:eastAsia="zh-CN"/>
        </w:rPr>
        <w:t>主要原因是主要原因是精减培训，完善培训制度，减少支出</w:t>
      </w:r>
      <w:r>
        <w:t>。2020年度全年组织培训11个，组织培训502人次。主要为培训</w:t>
      </w:r>
      <w:r>
        <w:rPr>
          <w:rFonts w:hint="eastAsia" w:asciiTheme="minorEastAsia" w:hAnsiTheme="minorEastAsia" w:eastAsiaTheme="minorEastAsia" w:cstheme="minorEastAsia"/>
          <w:color w:val="000000"/>
          <w:kern w:val="0"/>
          <w:sz w:val="32"/>
          <w:szCs w:val="32"/>
          <w:lang w:val="en-US" w:eastAsia="zh-CN" w:bidi="ar"/>
        </w:rPr>
        <w:t>文化市场检查、全民阅读、全域旅游相关培训</w:t>
      </w:r>
      <w:r>
        <w:t>。</w:t>
      </w:r>
      <w:r>
        <w:rPr>
          <w:rFonts w:hint="eastAsia" w:asciiTheme="minorEastAsia" w:hAnsiTheme="minorEastAsia" w:eastAsiaTheme="minorEastAsia" w:cstheme="minorEastAsia"/>
          <w:sz w:val="32"/>
          <w:szCs w:val="32"/>
          <w:u w:val="none"/>
        </w:rPr>
        <w:t>召开雨花台区群众体育指导员培训等。</w:t>
      </w:r>
    </w:p>
    <w:p>
      <w:pPr>
        <w:spacing w:line="550" w:lineRule="exact"/>
        <w:ind w:firstLine="640" w:firstLineChars="200"/>
      </w:pPr>
    </w:p>
    <w:p>
      <w:pPr>
        <w:spacing w:line="550" w:lineRule="exact"/>
        <w:ind w:firstLine="643" w:firstLineChars="200"/>
        <w:rPr>
          <w:b/>
          <w:bCs/>
        </w:rPr>
      </w:pPr>
      <w:r>
        <w:rPr>
          <w:b/>
          <w:bCs/>
        </w:rPr>
        <w:t>十、政府性基金预算</w:t>
      </w:r>
      <w:r>
        <w:rPr>
          <w:rFonts w:hint="eastAsia"/>
          <w:b/>
          <w:bCs/>
        </w:rPr>
        <w:t>财政</w:t>
      </w:r>
      <w:r>
        <w:rPr>
          <w:b/>
          <w:bCs/>
        </w:rPr>
        <w:t>拨款收入支出决算情况说明</w:t>
      </w:r>
    </w:p>
    <w:p>
      <w:pPr>
        <w:spacing w:line="550" w:lineRule="exact"/>
        <w:ind w:firstLine="960" w:firstLineChars="300"/>
      </w:pPr>
      <w:r>
        <w:t>南京市雨花台区文旅局2020年政府性基金预算财政拨款年初结转和结余0万元，本年收入决算46.0万元，本年支出决算41.0万元，年末结转和结余5.0万元。具体支出情况如下：</w:t>
      </w:r>
      <w:r>
        <w:br w:type="textWrapping"/>
      </w:r>
      <w:r>
        <w:rPr>
          <w:color w:val="FF0000"/>
        </w:rPr>
        <w:t xml:space="preserve">   </w:t>
      </w:r>
      <w:r>
        <w:t xml:space="preserve"> 1. 其他支出（类）彩票公益金安排的支出（款）用于体育事业的彩票公益金支出（项）支出决算41.0万元，</w:t>
      </w:r>
      <w:r>
        <w:rPr>
          <w:rFonts w:hint="eastAsia" w:asciiTheme="minorEastAsia" w:hAnsiTheme="minorEastAsia" w:eastAsiaTheme="minorEastAsia" w:cstheme="minorEastAsia"/>
          <w:sz w:val="32"/>
          <w:szCs w:val="32"/>
          <w:u w:val="none"/>
        </w:rPr>
        <w:t>主要是用于体育事业的彩票公益金支出</w:t>
      </w:r>
      <w:r>
        <w:rPr>
          <w:rFonts w:hint="eastAsia" w:asciiTheme="minorEastAsia" w:hAnsiTheme="minorEastAsia" w:eastAsiaTheme="minorEastAsia" w:cstheme="minorEastAsia"/>
          <w:sz w:val="32"/>
          <w:szCs w:val="32"/>
          <w:u w:val="none"/>
          <w:lang w:eastAsia="zh-CN"/>
        </w:rPr>
        <w:t>。</w:t>
      </w:r>
    </w:p>
    <w:p>
      <w:pPr>
        <w:spacing w:line="550" w:lineRule="exact"/>
        <w:ind w:firstLine="640" w:firstLineChars="200"/>
      </w:pPr>
    </w:p>
    <w:p>
      <w:pPr>
        <w:spacing w:line="550" w:lineRule="exact"/>
        <w:ind w:firstLine="643" w:firstLineChars="200"/>
        <w:rPr>
          <w:b/>
          <w:bCs/>
        </w:rPr>
      </w:pPr>
      <w:r>
        <w:rPr>
          <w:b/>
          <w:bCs/>
        </w:rPr>
        <w:t>十一、机关运行经费支出决算情况说明</w:t>
      </w:r>
    </w:p>
    <w:p>
      <w:pPr>
        <w:spacing w:line="550" w:lineRule="exact"/>
        <w:ind w:firstLine="640" w:firstLineChars="200"/>
        <w:rPr>
          <w:i/>
        </w:rPr>
      </w:pPr>
      <w:r>
        <w:t>2020年本部门机关运行经费支出84.31万元，比上年增加1.39万元，增长1.68%。</w:t>
      </w:r>
      <w:r>
        <w:rPr>
          <w:rFonts w:hint="eastAsia"/>
          <w:lang w:eastAsia="zh-CN"/>
        </w:rPr>
        <w:t>主要原因是</w:t>
      </w:r>
      <w:r>
        <w:t xml:space="preserve">。 </w:t>
      </w:r>
    </w:p>
    <w:p>
      <w:pPr>
        <w:spacing w:line="550" w:lineRule="exact"/>
        <w:ind w:firstLine="643" w:firstLineChars="200"/>
        <w:rPr>
          <w:b/>
          <w:bCs/>
        </w:rPr>
      </w:pPr>
      <w:r>
        <w:rPr>
          <w:b/>
          <w:bCs/>
        </w:rPr>
        <w:t>十二、政府采购支出决算情况说明</w:t>
      </w:r>
    </w:p>
    <w:p>
      <w:pPr>
        <w:spacing w:line="550" w:lineRule="exact"/>
        <w:ind w:firstLine="640" w:firstLineChars="200"/>
      </w:pPr>
      <w:r>
        <w:t>2020年度政府采购支出总额47.56万元，其中：政府采购货物支出47.56万元、政府采购工程支出0万元、政府采购服务支出0万元。授予中小企业合同金额</w:t>
      </w:r>
      <w:r>
        <w:rPr>
          <w:rFonts w:hint="eastAsia"/>
          <w:lang w:val="en-US" w:eastAsia="zh-CN"/>
        </w:rPr>
        <w:t>0</w:t>
      </w:r>
      <w:r>
        <w:t>万元，占政府采购支出总额的</w:t>
      </w:r>
      <w:r>
        <w:rPr>
          <w:rFonts w:hint="eastAsia"/>
          <w:lang w:val="en-US" w:eastAsia="zh-CN"/>
        </w:rPr>
        <w:t>0</w:t>
      </w:r>
      <w:r>
        <w:t>%，其中：授予小微企业合同金额</w:t>
      </w:r>
      <w:r>
        <w:rPr>
          <w:rFonts w:hint="eastAsia"/>
          <w:lang w:val="en-US" w:eastAsia="zh-CN"/>
        </w:rPr>
        <w:t>0</w:t>
      </w:r>
      <w:r>
        <w:t>万元，占政府采购支出总额的</w:t>
      </w:r>
      <w:r>
        <w:rPr>
          <w:rFonts w:hint="eastAsia"/>
          <w:lang w:val="en-US" w:eastAsia="zh-CN"/>
        </w:rPr>
        <w:t>0</w:t>
      </w:r>
      <w:r>
        <w:t>%。</w:t>
      </w:r>
    </w:p>
    <w:p>
      <w:pPr>
        <w:spacing w:line="550" w:lineRule="exact"/>
        <w:ind w:firstLine="643" w:firstLineChars="200"/>
        <w:rPr>
          <w:b/>
          <w:bCs/>
        </w:rPr>
      </w:pPr>
      <w:r>
        <w:rPr>
          <w:b/>
          <w:bCs/>
        </w:rPr>
        <w:t>十三、国有资产占用情况</w:t>
      </w:r>
      <w:r>
        <w:rPr>
          <w:rFonts w:hint="eastAsia"/>
          <w:b/>
          <w:bCs/>
        </w:rPr>
        <w:t>说明</w:t>
      </w:r>
    </w:p>
    <w:p>
      <w:pPr>
        <w:spacing w:line="550" w:lineRule="exact"/>
        <w:ind w:firstLine="640" w:firstLineChars="200"/>
      </w:pPr>
      <w:r>
        <w:t>本部门共有车辆2辆，其中，副部（省）级及以上领导用车0辆、主要领导干部用车0辆、机要通信用车0辆、应急保障用车0辆、执法执勤用车0辆、特种专业技术用车0辆、离退休干部用车0辆、其他用车2辆，其他用车主要是其他用车主要是</w:t>
      </w:r>
      <w:r>
        <w:rPr>
          <w:rFonts w:hint="eastAsia"/>
          <w:lang w:eastAsia="zh-CN"/>
        </w:rPr>
        <w:t>新闻采访</w:t>
      </w:r>
      <w:r>
        <w:rPr>
          <w:rFonts w:hint="eastAsia"/>
          <w:lang w:val="en-US" w:eastAsia="zh-CN"/>
        </w:rPr>
        <w:t>,文化市场监督检查</w:t>
      </w:r>
      <w:r>
        <w:t>；单价50万元（含）以上的通用设备0台（套）,单价100万元（含）以上的专用设备0台（套）。</w:t>
      </w:r>
    </w:p>
    <w:p>
      <w:pPr>
        <w:spacing w:line="550" w:lineRule="exact"/>
        <w:ind w:firstLine="643" w:firstLineChars="200"/>
        <w:rPr>
          <w:b/>
          <w:bCs/>
        </w:rPr>
      </w:pPr>
      <w:r>
        <w:rPr>
          <w:b/>
          <w:bCs/>
        </w:rPr>
        <w:t>十</w:t>
      </w:r>
      <w:r>
        <w:rPr>
          <w:rFonts w:hint="eastAsia"/>
          <w:b/>
          <w:bCs/>
        </w:rPr>
        <w:t>四</w:t>
      </w:r>
      <w:r>
        <w:rPr>
          <w:b/>
          <w:bCs/>
        </w:rPr>
        <w:t>、预算绩效评价工作开展情况</w:t>
      </w:r>
    </w:p>
    <w:p>
      <w:pPr>
        <w:spacing w:line="550" w:lineRule="exact"/>
        <w:ind w:firstLine="640" w:firstLineChars="200"/>
        <w:rPr>
          <w:szCs w:val="32"/>
        </w:rPr>
      </w:pPr>
      <w:r>
        <w:rPr>
          <w:szCs w:val="32"/>
        </w:rPr>
        <w:t>2020年度，</w:t>
      </w:r>
      <w:r>
        <w:t>本部门共</w:t>
      </w:r>
      <w:r>
        <w:rPr>
          <w:rFonts w:hint="eastAsia"/>
          <w:lang w:val="en-US" w:eastAsia="zh-CN"/>
        </w:rPr>
        <w:t>4</w:t>
      </w:r>
      <w:r>
        <w:t>个项目开展了</w:t>
      </w:r>
      <w:r>
        <w:rPr>
          <w:szCs w:val="32"/>
        </w:rPr>
        <w:t>财政重点</w:t>
      </w:r>
      <w:r>
        <w:t>绩效评价，涉及财政性资金合计</w:t>
      </w:r>
      <w:r>
        <w:rPr>
          <w:rFonts w:hint="eastAsia"/>
          <w:lang w:val="en-US" w:eastAsia="zh-CN"/>
        </w:rPr>
        <w:t>946</w:t>
      </w:r>
      <w:r>
        <w:t>万元</w:t>
      </w:r>
      <w:r>
        <w:rPr>
          <w:szCs w:val="32"/>
        </w:rPr>
        <w:t>；本部门（</w:t>
      </w:r>
      <w:r>
        <w:rPr>
          <w:rFonts w:hint="eastAsia"/>
          <w:szCs w:val="32"/>
          <w:lang w:eastAsia="zh-CN"/>
        </w:rPr>
        <w:t>□</w:t>
      </w:r>
      <w:r>
        <w:rPr>
          <w:color w:val="000000" w:themeColor="text1"/>
          <w:szCs w:val="32"/>
          <w14:textFill>
            <w14:solidFill>
              <w14:schemeClr w14:val="tx1"/>
            </w14:solidFill>
          </w14:textFill>
        </w:rPr>
        <w:t>开展、</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未开展</w:t>
      </w:r>
      <w:r>
        <w:rPr>
          <w:szCs w:val="32"/>
        </w:rPr>
        <w:t>）财政整体支出重点绩效评价，涉及财政性资金</w:t>
      </w:r>
      <w:r>
        <w:rPr>
          <w:rFonts w:hint="eastAsia"/>
          <w:szCs w:val="32"/>
          <w:lang w:val="en-US" w:eastAsia="zh-CN"/>
        </w:rPr>
        <w:t>0</w:t>
      </w:r>
      <w:r>
        <w:rPr>
          <w:szCs w:val="32"/>
        </w:rPr>
        <w:t>万元；本部门单位共</w:t>
      </w:r>
      <w:r>
        <w:rPr>
          <w:rFonts w:hint="eastAsia"/>
          <w:szCs w:val="32"/>
          <w:lang w:val="en-US" w:eastAsia="zh-CN"/>
        </w:rPr>
        <w:t>26</w:t>
      </w:r>
      <w:r>
        <w:rPr>
          <w:szCs w:val="32"/>
        </w:rPr>
        <w:t>个项目开展了部门单位绩效自评，涉及财政性资金合计</w:t>
      </w:r>
      <w:r>
        <w:rPr>
          <w:rFonts w:hint="eastAsia"/>
          <w:szCs w:val="32"/>
          <w:lang w:val="en-US" w:eastAsia="zh-CN"/>
        </w:rPr>
        <w:t>2539.98</w:t>
      </w:r>
      <w:r>
        <w:rPr>
          <w:szCs w:val="32"/>
        </w:rPr>
        <w:t>万元。</w:t>
      </w:r>
    </w:p>
    <w:p>
      <w:pPr>
        <w:spacing w:line="550" w:lineRule="exact"/>
        <w:ind w:firstLine="640" w:firstLineChars="200"/>
      </w:pPr>
    </w:p>
    <w:p>
      <w:pPr>
        <w:spacing w:line="550" w:lineRule="exact"/>
        <w:ind w:firstLine="640" w:firstLineChars="200"/>
      </w:pPr>
    </w:p>
    <w:p>
      <w:pPr>
        <w:spacing w:before="100" w:beforeAutospacing="1" w:after="100" w:afterAutospacing="1" w:line="550" w:lineRule="exact"/>
        <w:ind w:firstLine="723" w:firstLineChars="200"/>
        <w:jc w:val="center"/>
        <w:rPr>
          <w:b/>
          <w:bCs/>
          <w:sz w:val="36"/>
        </w:rPr>
      </w:pPr>
      <w:r>
        <w:rPr>
          <w:b/>
          <w:bCs/>
          <w:sz w:val="36"/>
        </w:rPr>
        <w:t>第四部分　名词解释</w:t>
      </w:r>
    </w:p>
    <w:p>
      <w:pPr>
        <w:spacing w:before="265" w:line="550" w:lineRule="exact"/>
        <w:ind w:left="120" w:right="394" w:firstLine="643" w:firstLineChars="200"/>
      </w:pPr>
      <w:r>
        <w:rPr>
          <w:rFonts w:hint="eastAsia"/>
          <w:b/>
          <w:bCs/>
        </w:rPr>
        <w:t>一、财政拨款收入：</w:t>
      </w:r>
      <w:r>
        <w:t>指单位本年度从同级财政部门取得的各类财政拨款。</w:t>
      </w:r>
    </w:p>
    <w:p>
      <w:pPr>
        <w:spacing w:line="550" w:lineRule="exact"/>
        <w:ind w:left="120" w:right="395" w:firstLine="643" w:firstLineChars="200"/>
      </w:pPr>
      <w:r>
        <w:rPr>
          <w:rFonts w:hint="eastAsia"/>
          <w:b/>
          <w:bCs/>
        </w:rPr>
        <w:t>二、上级补助收入：</w:t>
      </w:r>
      <w:r>
        <w:t>指事业单位从主管部门和上级单位取得的非财政补助收入。</w:t>
      </w:r>
    </w:p>
    <w:p>
      <w:pPr>
        <w:spacing w:line="550" w:lineRule="exact"/>
        <w:ind w:left="120" w:right="439" w:firstLine="643" w:firstLineChars="200"/>
      </w:pPr>
      <w:r>
        <w:rPr>
          <w:rFonts w:hint="eastAsia"/>
          <w:b/>
          <w:bCs/>
        </w:rPr>
        <w:t>三、事业收入：</w:t>
      </w:r>
      <w:r>
        <w:t>指事业单位开展专业业务活动及其辅助活动取得的收入，事业单位收到的财政专户实际核拨的教育收费等资金在此反映。</w:t>
      </w:r>
    </w:p>
    <w:p>
      <w:pPr>
        <w:spacing w:line="550" w:lineRule="exact"/>
        <w:ind w:left="120" w:right="394" w:firstLine="643" w:firstLineChars="200"/>
      </w:pPr>
      <w:r>
        <w:rPr>
          <w:rFonts w:hint="eastAsia"/>
          <w:b/>
          <w:bCs/>
        </w:rPr>
        <w:t>四、经营收入：</w:t>
      </w:r>
      <w:r>
        <w:t>指事业单位在专业业务活动及其辅助活动之外开展非独立核算经营活动取得的收入。</w:t>
      </w:r>
    </w:p>
    <w:p>
      <w:pPr>
        <w:spacing w:line="550" w:lineRule="exact"/>
        <w:ind w:left="120" w:firstLine="643" w:firstLineChars="200"/>
      </w:pPr>
      <w:r>
        <w:rPr>
          <w:rFonts w:hint="eastAsia"/>
          <w:b/>
          <w:bCs/>
        </w:rPr>
        <w:t>五、附属单位上缴收入：</w:t>
      </w:r>
      <w:r>
        <w:t>指事业单位附属独立核算单位按照有关规定上缴的收入。</w:t>
      </w:r>
    </w:p>
    <w:p>
      <w:pPr>
        <w:spacing w:before="35" w:line="550" w:lineRule="exact"/>
        <w:ind w:left="120" w:right="436" w:firstLine="643" w:firstLineChars="200"/>
      </w:pPr>
      <w:r>
        <w:rPr>
          <w:rFonts w:hint="eastAsia"/>
          <w:b/>
          <w:bCs/>
        </w:rPr>
        <w:t>六、其他收入：</w:t>
      </w:r>
      <w:r>
        <w:t>指单位取得的除上述“财政拨款收入”、“事业收入”、“经营收入”等以外的各项收入。</w:t>
      </w:r>
    </w:p>
    <w:p>
      <w:pPr>
        <w:spacing w:line="550" w:lineRule="exact"/>
        <w:ind w:left="120" w:firstLine="643" w:firstLineChars="200"/>
      </w:pPr>
      <w:r>
        <w:rPr>
          <w:rFonts w:hint="eastAsia"/>
          <w:b/>
          <w:bCs/>
        </w:rPr>
        <w:t>七、使用非财政拨款结余：</w:t>
      </w:r>
      <w:r>
        <w:t>指事业单位使用非财政拨款结余（原事业基金）弥补当年收支差额的数额。</w:t>
      </w:r>
    </w:p>
    <w:p>
      <w:pPr>
        <w:spacing w:before="35" w:line="550" w:lineRule="exact"/>
        <w:ind w:left="120" w:right="395" w:firstLine="643" w:firstLineChars="200"/>
      </w:pPr>
      <w:r>
        <w:rPr>
          <w:rFonts w:hint="eastAsia"/>
          <w:b/>
          <w:bCs/>
        </w:rPr>
        <w:t>八、年初结转和结余：</w:t>
      </w:r>
      <w:r>
        <w:t>指单位上年结转本年使用的基本支出结转、项目支出结转和结余和经营结余。</w:t>
      </w:r>
    </w:p>
    <w:p>
      <w:pPr>
        <w:spacing w:line="550" w:lineRule="exact"/>
        <w:ind w:left="120" w:right="393" w:firstLine="643" w:firstLineChars="200"/>
      </w:pPr>
      <w:r>
        <w:rPr>
          <w:rFonts w:hint="eastAsia"/>
          <w:b/>
          <w:bCs/>
        </w:rPr>
        <w:t>九、结余分配：</w:t>
      </w:r>
      <w:r>
        <w:t>指事业单位按规定对非财政拨款结余资金提取的专用基金、缴纳的所得税和转入非财政拨款结余等。</w:t>
      </w:r>
    </w:p>
    <w:p>
      <w:pPr>
        <w:spacing w:line="550" w:lineRule="exact"/>
        <w:ind w:left="120" w:right="281" w:firstLine="643" w:firstLineChars="200"/>
      </w:pPr>
      <w:r>
        <w:rPr>
          <w:rFonts w:hint="eastAsia"/>
          <w:b/>
          <w:bCs/>
        </w:rPr>
        <w:t>十、年末结转和结余资金：</w:t>
      </w:r>
      <w:r>
        <w:t>指本年度或以前年度预算安排、 因客观条件发生变化无法按原计划实施，需要延迟到以后年度按有关规定继续使用的资金。</w:t>
      </w:r>
    </w:p>
    <w:p>
      <w:pPr>
        <w:spacing w:line="550" w:lineRule="exact"/>
        <w:ind w:left="120" w:right="395" w:firstLine="643" w:firstLineChars="200"/>
      </w:pPr>
      <w:r>
        <w:rPr>
          <w:rFonts w:hint="eastAsia"/>
          <w:b/>
          <w:bCs/>
        </w:rPr>
        <w:t>十一、基本支出：</w:t>
      </w:r>
      <w:r>
        <w:t>指为保障机构正常运转、完成日常工作任务而发生的支出，包括人员经费和公用经费。</w:t>
      </w:r>
    </w:p>
    <w:p>
      <w:pPr>
        <w:spacing w:line="550" w:lineRule="exact"/>
        <w:ind w:left="120" w:right="394" w:firstLine="643" w:firstLineChars="200"/>
      </w:pPr>
      <w:r>
        <w:rPr>
          <w:rFonts w:hint="eastAsia"/>
          <w:b/>
          <w:bCs/>
        </w:rPr>
        <w:t>十二、项目支出：</w:t>
      </w:r>
      <w:r>
        <w:t>指在为完成特定的工作任务和事业发展目标所发生的支出。</w:t>
      </w:r>
    </w:p>
    <w:p>
      <w:pPr>
        <w:spacing w:line="550" w:lineRule="exact"/>
        <w:ind w:left="120" w:right="395" w:firstLine="643" w:firstLineChars="200"/>
      </w:pPr>
      <w:r>
        <w:rPr>
          <w:rFonts w:hint="eastAsia"/>
          <w:b/>
          <w:bCs/>
        </w:rPr>
        <w:t>十三、上缴上级支出：</w:t>
      </w:r>
      <w:r>
        <w:t>指事业单位按照财政部门和主管部门的规定上缴上级单位的支出。</w:t>
      </w:r>
    </w:p>
    <w:p>
      <w:pPr>
        <w:spacing w:line="550" w:lineRule="exact"/>
        <w:ind w:left="120" w:right="395" w:firstLine="643" w:firstLineChars="200"/>
      </w:pPr>
      <w:r>
        <w:rPr>
          <w:rFonts w:hint="eastAsia"/>
          <w:b/>
          <w:bCs/>
        </w:rPr>
        <w:t>十四、经营支出：</w:t>
      </w:r>
      <w:r>
        <w:t>指事业单位在专业业务活动及其辅助活动之外开展非独立核算经营活动发生的支出。</w:t>
      </w:r>
    </w:p>
    <w:p>
      <w:pPr>
        <w:spacing w:line="550" w:lineRule="exact"/>
        <w:ind w:left="120" w:right="394" w:firstLine="643" w:firstLineChars="200"/>
      </w:pPr>
      <w:r>
        <w:rPr>
          <w:rFonts w:hint="eastAsia"/>
          <w:b/>
          <w:bCs/>
        </w:rPr>
        <w:t>十五、对附属单位补助支出：</w:t>
      </w:r>
      <w:r>
        <w:t>指事业单位用财政拨款收入之外的收入对附属单位补助发生的支出。</w:t>
      </w:r>
    </w:p>
    <w:p>
      <w:pPr>
        <w:spacing w:line="550" w:lineRule="exact"/>
        <w:ind w:left="120" w:right="436" w:firstLine="643" w:firstLineChars="200"/>
      </w:pPr>
      <w:r>
        <w:rPr>
          <w:rFonts w:hint="eastAsia"/>
          <w:b/>
          <w:bCs/>
        </w:rPr>
        <w:t>十六、</w:t>
      </w:r>
      <w:r>
        <w:rPr>
          <w:b/>
          <w:bCs/>
        </w:rPr>
        <w:t>“</w:t>
      </w:r>
      <w:r>
        <w:rPr>
          <w:rFonts w:hint="eastAsia"/>
          <w:b/>
          <w:bCs/>
        </w:rPr>
        <w:t>三公</w:t>
      </w:r>
      <w:r>
        <w:rPr>
          <w:b/>
          <w:bCs/>
        </w:rPr>
        <w:t>”</w:t>
      </w:r>
      <w:r>
        <w:rPr>
          <w:rFonts w:hint="eastAsia"/>
          <w:b/>
          <w:bCs/>
        </w:rPr>
        <w:t>经费：</w:t>
      </w:r>
      <w: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spacing w:line="550" w:lineRule="exact"/>
        <w:ind w:firstLine="643" w:firstLineChars="200"/>
      </w:pPr>
      <w:r>
        <w:rPr>
          <w:rFonts w:hint="eastAsia"/>
          <w:b/>
          <w:bCs/>
        </w:rPr>
        <w:t>十七、机关运行经费：</w:t>
      </w:r>
      <w: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spacing w:line="550" w:lineRule="exact"/>
        <w:ind w:firstLine="640" w:firstLineChars="200"/>
      </w:pPr>
    </w:p>
    <w:p>
      <w:pPr>
        <w:spacing w:line="550" w:lineRule="exact"/>
        <w:ind w:firstLine="640" w:firstLineChars="200"/>
      </w:pPr>
    </w:p>
    <w:p>
      <w:pPr>
        <w:spacing w:line="550" w:lineRule="exact"/>
        <w:ind w:firstLine="640" w:firstLineChars="200"/>
      </w:pPr>
    </w:p>
    <w:p>
      <w:pPr>
        <w:spacing w:line="550" w:lineRule="exact"/>
        <w:ind w:firstLine="640" w:firstLineChars="200"/>
      </w:pPr>
    </w:p>
    <w:sectPr>
      <w:type w:val="continuous"/>
      <w:pgSz w:w="11906" w:h="16838" w:orient="landscape"/>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4"/>
      <w:framePr w:wrap="around" w:vAnchor="text" w:hAnchor="margin" w:xAlign="right" w:y="1"/>
      <w:rPr>
        <w:rStyle w:val="9"/>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160BF"/>
    <w:multiLevelType w:val="singleLevel"/>
    <w:tmpl w:val="42D160BF"/>
    <w:lvl w:ilvl="0" w:tentative="0">
      <w:start w:val="2"/>
      <w:numFmt w:val="decimal"/>
      <w:suff w:val="nothing"/>
      <w:lvlText w:val="%1．"/>
      <w:lvlJc w:val="left"/>
    </w:lvl>
  </w:abstractNum>
  <w:abstractNum w:abstractNumId="1">
    <w:nsid w:val="49D2B5B4"/>
    <w:multiLevelType w:val="singleLevel"/>
    <w:tmpl w:val="49D2B5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6"/>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D2"/>
    <w:rsid w:val="00000DB9"/>
    <w:rsid w:val="000207FD"/>
    <w:rsid w:val="00021CAD"/>
    <w:rsid w:val="0002677D"/>
    <w:rsid w:val="00032DA1"/>
    <w:rsid w:val="000348CC"/>
    <w:rsid w:val="00051E3E"/>
    <w:rsid w:val="00066F51"/>
    <w:rsid w:val="00072399"/>
    <w:rsid w:val="00073455"/>
    <w:rsid w:val="000A2C41"/>
    <w:rsid w:val="000A385D"/>
    <w:rsid w:val="000A3AC3"/>
    <w:rsid w:val="000A535E"/>
    <w:rsid w:val="000A605C"/>
    <w:rsid w:val="000B0F1D"/>
    <w:rsid w:val="000B28FC"/>
    <w:rsid w:val="000B36F8"/>
    <w:rsid w:val="000B5030"/>
    <w:rsid w:val="000B55DA"/>
    <w:rsid w:val="000C514E"/>
    <w:rsid w:val="000F5CB8"/>
    <w:rsid w:val="00121284"/>
    <w:rsid w:val="0012142E"/>
    <w:rsid w:val="00126D7F"/>
    <w:rsid w:val="00132B10"/>
    <w:rsid w:val="00132DDA"/>
    <w:rsid w:val="00137165"/>
    <w:rsid w:val="00137BB2"/>
    <w:rsid w:val="0014028E"/>
    <w:rsid w:val="00144E5D"/>
    <w:rsid w:val="001565CB"/>
    <w:rsid w:val="00167C23"/>
    <w:rsid w:val="001773D6"/>
    <w:rsid w:val="001805A0"/>
    <w:rsid w:val="00182361"/>
    <w:rsid w:val="00184EE9"/>
    <w:rsid w:val="00193769"/>
    <w:rsid w:val="00195865"/>
    <w:rsid w:val="001A0EE7"/>
    <w:rsid w:val="001A4428"/>
    <w:rsid w:val="001D0047"/>
    <w:rsid w:val="001D2CC9"/>
    <w:rsid w:val="001E2895"/>
    <w:rsid w:val="001E4BBE"/>
    <w:rsid w:val="001F30F8"/>
    <w:rsid w:val="001F5AF1"/>
    <w:rsid w:val="001F5E81"/>
    <w:rsid w:val="002076A8"/>
    <w:rsid w:val="002146F3"/>
    <w:rsid w:val="0022144D"/>
    <w:rsid w:val="00222BD1"/>
    <w:rsid w:val="002259EE"/>
    <w:rsid w:val="00227D8D"/>
    <w:rsid w:val="00241D9C"/>
    <w:rsid w:val="00242E80"/>
    <w:rsid w:val="00245100"/>
    <w:rsid w:val="002927EB"/>
    <w:rsid w:val="002A30F6"/>
    <w:rsid w:val="002A479C"/>
    <w:rsid w:val="002A7502"/>
    <w:rsid w:val="002B63B3"/>
    <w:rsid w:val="002C364D"/>
    <w:rsid w:val="002C7553"/>
    <w:rsid w:val="002D1CB8"/>
    <w:rsid w:val="002D40CE"/>
    <w:rsid w:val="002D43C7"/>
    <w:rsid w:val="002D71E5"/>
    <w:rsid w:val="002D7435"/>
    <w:rsid w:val="002E4DCE"/>
    <w:rsid w:val="002E6BED"/>
    <w:rsid w:val="002F3B79"/>
    <w:rsid w:val="002F5446"/>
    <w:rsid w:val="002F5EEF"/>
    <w:rsid w:val="003041CD"/>
    <w:rsid w:val="00306559"/>
    <w:rsid w:val="003216C9"/>
    <w:rsid w:val="00325C0D"/>
    <w:rsid w:val="00332A3D"/>
    <w:rsid w:val="00334C45"/>
    <w:rsid w:val="00340246"/>
    <w:rsid w:val="00340A4C"/>
    <w:rsid w:val="00354388"/>
    <w:rsid w:val="003559D6"/>
    <w:rsid w:val="00355DF9"/>
    <w:rsid w:val="00363411"/>
    <w:rsid w:val="003667CD"/>
    <w:rsid w:val="00383FDF"/>
    <w:rsid w:val="00390DCA"/>
    <w:rsid w:val="003913D6"/>
    <w:rsid w:val="003921B3"/>
    <w:rsid w:val="003A06B6"/>
    <w:rsid w:val="003B5EF0"/>
    <w:rsid w:val="003C182F"/>
    <w:rsid w:val="003C7B33"/>
    <w:rsid w:val="003E688E"/>
    <w:rsid w:val="003F64C9"/>
    <w:rsid w:val="003F6D66"/>
    <w:rsid w:val="004225FA"/>
    <w:rsid w:val="00422EF9"/>
    <w:rsid w:val="00425982"/>
    <w:rsid w:val="00433863"/>
    <w:rsid w:val="00435CA7"/>
    <w:rsid w:val="004411D0"/>
    <w:rsid w:val="00441628"/>
    <w:rsid w:val="00442969"/>
    <w:rsid w:val="004444A2"/>
    <w:rsid w:val="00445421"/>
    <w:rsid w:val="004545AB"/>
    <w:rsid w:val="004627C9"/>
    <w:rsid w:val="00467BB0"/>
    <w:rsid w:val="0047363A"/>
    <w:rsid w:val="00475860"/>
    <w:rsid w:val="00481D46"/>
    <w:rsid w:val="004871C5"/>
    <w:rsid w:val="0049239F"/>
    <w:rsid w:val="004A0169"/>
    <w:rsid w:val="004A1676"/>
    <w:rsid w:val="004A5634"/>
    <w:rsid w:val="004A5F39"/>
    <w:rsid w:val="004C4B2D"/>
    <w:rsid w:val="004C4F63"/>
    <w:rsid w:val="004D421F"/>
    <w:rsid w:val="004D74F9"/>
    <w:rsid w:val="004E2C95"/>
    <w:rsid w:val="004E30D2"/>
    <w:rsid w:val="004E3494"/>
    <w:rsid w:val="004F6E5C"/>
    <w:rsid w:val="00504527"/>
    <w:rsid w:val="00506F4F"/>
    <w:rsid w:val="00516CE8"/>
    <w:rsid w:val="00517DA5"/>
    <w:rsid w:val="005442F1"/>
    <w:rsid w:val="0055626E"/>
    <w:rsid w:val="0057019B"/>
    <w:rsid w:val="00576240"/>
    <w:rsid w:val="005863AA"/>
    <w:rsid w:val="005938D7"/>
    <w:rsid w:val="00597E74"/>
    <w:rsid w:val="005A0525"/>
    <w:rsid w:val="005A74B1"/>
    <w:rsid w:val="005C62D9"/>
    <w:rsid w:val="005C6A63"/>
    <w:rsid w:val="005D0D5F"/>
    <w:rsid w:val="005D29FB"/>
    <w:rsid w:val="005D3EEA"/>
    <w:rsid w:val="005D6E02"/>
    <w:rsid w:val="005E5644"/>
    <w:rsid w:val="005F593C"/>
    <w:rsid w:val="00611498"/>
    <w:rsid w:val="006151DF"/>
    <w:rsid w:val="00625A38"/>
    <w:rsid w:val="00644375"/>
    <w:rsid w:val="00645E0E"/>
    <w:rsid w:val="00654496"/>
    <w:rsid w:val="00675407"/>
    <w:rsid w:val="00680A0F"/>
    <w:rsid w:val="006A0C3F"/>
    <w:rsid w:val="006B0514"/>
    <w:rsid w:val="006B782C"/>
    <w:rsid w:val="006C1D78"/>
    <w:rsid w:val="006C2DFD"/>
    <w:rsid w:val="006D5FF4"/>
    <w:rsid w:val="006E1D89"/>
    <w:rsid w:val="006E236E"/>
    <w:rsid w:val="006F2216"/>
    <w:rsid w:val="00703B04"/>
    <w:rsid w:val="00704CD1"/>
    <w:rsid w:val="00704E09"/>
    <w:rsid w:val="00705234"/>
    <w:rsid w:val="00713013"/>
    <w:rsid w:val="00717F53"/>
    <w:rsid w:val="0072318D"/>
    <w:rsid w:val="007247A5"/>
    <w:rsid w:val="00737C0B"/>
    <w:rsid w:val="00742178"/>
    <w:rsid w:val="00760C0D"/>
    <w:rsid w:val="0076194C"/>
    <w:rsid w:val="00764E2F"/>
    <w:rsid w:val="00770227"/>
    <w:rsid w:val="00776CCA"/>
    <w:rsid w:val="00783BD0"/>
    <w:rsid w:val="00785E45"/>
    <w:rsid w:val="00791558"/>
    <w:rsid w:val="007A143A"/>
    <w:rsid w:val="007A23A9"/>
    <w:rsid w:val="007A2B50"/>
    <w:rsid w:val="007A635C"/>
    <w:rsid w:val="007B4944"/>
    <w:rsid w:val="007B7175"/>
    <w:rsid w:val="007B7640"/>
    <w:rsid w:val="007D14A1"/>
    <w:rsid w:val="007D53FD"/>
    <w:rsid w:val="007D732D"/>
    <w:rsid w:val="007F1E76"/>
    <w:rsid w:val="00837229"/>
    <w:rsid w:val="00847A5A"/>
    <w:rsid w:val="00852761"/>
    <w:rsid w:val="00855735"/>
    <w:rsid w:val="00857068"/>
    <w:rsid w:val="008676B3"/>
    <w:rsid w:val="008742D7"/>
    <w:rsid w:val="0088263A"/>
    <w:rsid w:val="00897BD7"/>
    <w:rsid w:val="008A0C99"/>
    <w:rsid w:val="008A35DF"/>
    <w:rsid w:val="008B5EB3"/>
    <w:rsid w:val="008E762F"/>
    <w:rsid w:val="009261E2"/>
    <w:rsid w:val="00933257"/>
    <w:rsid w:val="009346AB"/>
    <w:rsid w:val="00941C00"/>
    <w:rsid w:val="00962F11"/>
    <w:rsid w:val="00963538"/>
    <w:rsid w:val="00964945"/>
    <w:rsid w:val="009721FA"/>
    <w:rsid w:val="0097706F"/>
    <w:rsid w:val="009838CD"/>
    <w:rsid w:val="00992623"/>
    <w:rsid w:val="00994E0F"/>
    <w:rsid w:val="009C49B0"/>
    <w:rsid w:val="009C5DEC"/>
    <w:rsid w:val="009C6EB0"/>
    <w:rsid w:val="009E04AB"/>
    <w:rsid w:val="009F4EA6"/>
    <w:rsid w:val="009F5216"/>
    <w:rsid w:val="009F5511"/>
    <w:rsid w:val="009F7A80"/>
    <w:rsid w:val="00A0694D"/>
    <w:rsid w:val="00A22B73"/>
    <w:rsid w:val="00A33E93"/>
    <w:rsid w:val="00A403F1"/>
    <w:rsid w:val="00A47CF6"/>
    <w:rsid w:val="00A509CE"/>
    <w:rsid w:val="00A525F7"/>
    <w:rsid w:val="00A5663B"/>
    <w:rsid w:val="00A6466C"/>
    <w:rsid w:val="00A678FA"/>
    <w:rsid w:val="00A805E4"/>
    <w:rsid w:val="00A8370D"/>
    <w:rsid w:val="00A92223"/>
    <w:rsid w:val="00A93E21"/>
    <w:rsid w:val="00AA2152"/>
    <w:rsid w:val="00AB01F8"/>
    <w:rsid w:val="00AB0CBE"/>
    <w:rsid w:val="00AB1DFB"/>
    <w:rsid w:val="00AB3458"/>
    <w:rsid w:val="00AC5F26"/>
    <w:rsid w:val="00AC6D14"/>
    <w:rsid w:val="00AC7889"/>
    <w:rsid w:val="00AD27D4"/>
    <w:rsid w:val="00AE18EF"/>
    <w:rsid w:val="00AF6455"/>
    <w:rsid w:val="00B170EB"/>
    <w:rsid w:val="00B20897"/>
    <w:rsid w:val="00B20F1E"/>
    <w:rsid w:val="00B219B4"/>
    <w:rsid w:val="00B22E72"/>
    <w:rsid w:val="00B26101"/>
    <w:rsid w:val="00B34C3F"/>
    <w:rsid w:val="00B36981"/>
    <w:rsid w:val="00B41213"/>
    <w:rsid w:val="00B50CBD"/>
    <w:rsid w:val="00B5717F"/>
    <w:rsid w:val="00B93F78"/>
    <w:rsid w:val="00B97EB6"/>
    <w:rsid w:val="00BA30AC"/>
    <w:rsid w:val="00BA61FC"/>
    <w:rsid w:val="00BB2E68"/>
    <w:rsid w:val="00BD7B44"/>
    <w:rsid w:val="00BE02AE"/>
    <w:rsid w:val="00BE26A4"/>
    <w:rsid w:val="00BE736F"/>
    <w:rsid w:val="00C26E9C"/>
    <w:rsid w:val="00C26EB9"/>
    <w:rsid w:val="00C31EDF"/>
    <w:rsid w:val="00C37184"/>
    <w:rsid w:val="00C458F8"/>
    <w:rsid w:val="00C47ABF"/>
    <w:rsid w:val="00C51F4D"/>
    <w:rsid w:val="00C52BBC"/>
    <w:rsid w:val="00C555E9"/>
    <w:rsid w:val="00C65FC5"/>
    <w:rsid w:val="00C81E21"/>
    <w:rsid w:val="00C86264"/>
    <w:rsid w:val="00C940BF"/>
    <w:rsid w:val="00CA485E"/>
    <w:rsid w:val="00CA5C94"/>
    <w:rsid w:val="00CB01A2"/>
    <w:rsid w:val="00CB0C15"/>
    <w:rsid w:val="00CB56B8"/>
    <w:rsid w:val="00CB6FBE"/>
    <w:rsid w:val="00CD2DC5"/>
    <w:rsid w:val="00CD48D3"/>
    <w:rsid w:val="00CF633F"/>
    <w:rsid w:val="00D22BE9"/>
    <w:rsid w:val="00D23B80"/>
    <w:rsid w:val="00D3361C"/>
    <w:rsid w:val="00D404BA"/>
    <w:rsid w:val="00D53B65"/>
    <w:rsid w:val="00D5762C"/>
    <w:rsid w:val="00D63A46"/>
    <w:rsid w:val="00D8528A"/>
    <w:rsid w:val="00D86C78"/>
    <w:rsid w:val="00D90EB5"/>
    <w:rsid w:val="00D97B90"/>
    <w:rsid w:val="00DB0989"/>
    <w:rsid w:val="00DC35CC"/>
    <w:rsid w:val="00DC430B"/>
    <w:rsid w:val="00DD1799"/>
    <w:rsid w:val="00DE4D4A"/>
    <w:rsid w:val="00DF2005"/>
    <w:rsid w:val="00E07EC7"/>
    <w:rsid w:val="00E10162"/>
    <w:rsid w:val="00E17D43"/>
    <w:rsid w:val="00E26F56"/>
    <w:rsid w:val="00E319DB"/>
    <w:rsid w:val="00E40768"/>
    <w:rsid w:val="00E429AE"/>
    <w:rsid w:val="00E43349"/>
    <w:rsid w:val="00E4610C"/>
    <w:rsid w:val="00E713C2"/>
    <w:rsid w:val="00E81812"/>
    <w:rsid w:val="00E837AD"/>
    <w:rsid w:val="00E91337"/>
    <w:rsid w:val="00E9299A"/>
    <w:rsid w:val="00EB0D27"/>
    <w:rsid w:val="00EB0FA9"/>
    <w:rsid w:val="00EB2816"/>
    <w:rsid w:val="00EB3D08"/>
    <w:rsid w:val="00EB41FD"/>
    <w:rsid w:val="00EC08BB"/>
    <w:rsid w:val="00EC29AC"/>
    <w:rsid w:val="00EC5264"/>
    <w:rsid w:val="00EC52F2"/>
    <w:rsid w:val="00ED1137"/>
    <w:rsid w:val="00EE2E10"/>
    <w:rsid w:val="00EE3922"/>
    <w:rsid w:val="00EE4A77"/>
    <w:rsid w:val="00F01E0B"/>
    <w:rsid w:val="00F049DB"/>
    <w:rsid w:val="00F1257D"/>
    <w:rsid w:val="00F16CE4"/>
    <w:rsid w:val="00F21E2C"/>
    <w:rsid w:val="00F2404F"/>
    <w:rsid w:val="00F31538"/>
    <w:rsid w:val="00F32136"/>
    <w:rsid w:val="00F3303E"/>
    <w:rsid w:val="00F5796D"/>
    <w:rsid w:val="00F57D12"/>
    <w:rsid w:val="00F6262C"/>
    <w:rsid w:val="00F7005D"/>
    <w:rsid w:val="00F71366"/>
    <w:rsid w:val="00F75DFF"/>
    <w:rsid w:val="00F7655B"/>
    <w:rsid w:val="00F9074B"/>
    <w:rsid w:val="00F944F9"/>
    <w:rsid w:val="00FA33A7"/>
    <w:rsid w:val="00FA4A22"/>
    <w:rsid w:val="00FB0EA6"/>
    <w:rsid w:val="00FB3856"/>
    <w:rsid w:val="00FB4651"/>
    <w:rsid w:val="00FC6A39"/>
    <w:rsid w:val="00FD15A6"/>
    <w:rsid w:val="00FE4A4E"/>
    <w:rsid w:val="00FF2DE1"/>
    <w:rsid w:val="00FF4324"/>
    <w:rsid w:val="0611600E"/>
    <w:rsid w:val="5B2521A0"/>
    <w:rsid w:val="5C54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宋体" w:hAnsi="宋体" w:eastAsia="宋体" w:cs="Times New Roman"/>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Cs w:val="32"/>
      <w:lang w:eastAsia="en-US"/>
    </w:rPr>
  </w:style>
  <w:style w:type="paragraph" w:styleId="3">
    <w:name w:val="Balloon Text"/>
    <w:basedOn w:val="1"/>
    <w:link w:val="15"/>
    <w:semiHidden/>
    <w:unhideWhenUsed/>
    <w:qFormat/>
    <w:uiPriority w:val="99"/>
    <w:pPr>
      <w:autoSpaceDE/>
      <w:autoSpaceDN/>
      <w:snapToGrid/>
      <w:spacing w:line="240" w:lineRule="auto"/>
      <w:ind w:firstLine="0"/>
    </w:pPr>
    <w:rPr>
      <w:kern w:val="2"/>
      <w:sz w:val="18"/>
      <w:szCs w:val="18"/>
    </w:rPr>
  </w:style>
  <w:style w:type="paragraph" w:styleId="4">
    <w:name w:val="footer"/>
    <w:basedOn w:val="1"/>
    <w:link w:val="14"/>
    <w:unhideWhenUsed/>
    <w:qFormat/>
    <w:uiPriority w:val="99"/>
    <w:pPr>
      <w:tabs>
        <w:tab w:val="center" w:pos="4153"/>
        <w:tab w:val="right" w:pos="8306"/>
      </w:tabs>
      <w:autoSpaceDE/>
      <w:autoSpaceDN/>
      <w:spacing w:line="240" w:lineRule="auto"/>
      <w:ind w:firstLine="0"/>
      <w:jc w:val="left"/>
    </w:pPr>
    <w:rPr>
      <w:kern w:val="2"/>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autoSpaceDE/>
      <w:autoSpaceDN/>
      <w:spacing w:line="240" w:lineRule="auto"/>
      <w:ind w:firstLine="0"/>
      <w:jc w:val="center"/>
    </w:pPr>
    <w:rPr>
      <w:kern w:val="2"/>
      <w:sz w:val="18"/>
      <w:szCs w:val="18"/>
    </w:rPr>
  </w:style>
  <w:style w:type="table" w:styleId="7">
    <w:name w:val="Table Grid"/>
    <w:basedOn w:val="6"/>
    <w:qFormat/>
    <w:uiPriority w:val="0"/>
    <w:pPr>
      <w:widowControl w:val="0"/>
      <w:autoSpaceDE w:val="0"/>
      <w:autoSpaceDN w:val="0"/>
      <w:snapToGrid w:val="0"/>
      <w:spacing w:line="590" w:lineRule="atLeast"/>
      <w:ind w:firstLine="624"/>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autoSpaceDE/>
      <w:autoSpaceDN/>
      <w:snapToGrid/>
      <w:spacing w:line="240" w:lineRule="auto"/>
      <w:ind w:firstLine="420" w:firstLineChars="200"/>
    </w:pPr>
    <w:rPr>
      <w:rFonts w:ascii="Cambria" w:hAnsi="Cambria"/>
      <w:kern w:val="2"/>
      <w:sz w:val="24"/>
      <w:szCs w:val="24"/>
    </w:rPr>
  </w:style>
  <w:style w:type="paragraph" w:customStyle="1" w:styleId="11">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2">
    <w:name w:val="附件栏"/>
    <w:basedOn w:val="1"/>
    <w:qFormat/>
    <w:uiPriority w:val="0"/>
  </w:style>
  <w:style w:type="character" w:customStyle="1" w:styleId="13">
    <w:name w:val="页眉 字符"/>
    <w:link w:val="5"/>
    <w:qFormat/>
    <w:uiPriority w:val="99"/>
    <w:rPr>
      <w:rFonts w:ascii="Times New Roman" w:hAnsi="Times New Roman" w:eastAsia="宋体"/>
      <w:kern w:val="2"/>
      <w:sz w:val="18"/>
      <w:szCs w:val="18"/>
    </w:rPr>
  </w:style>
  <w:style w:type="character" w:customStyle="1" w:styleId="14">
    <w:name w:val="页脚 字符"/>
    <w:link w:val="4"/>
    <w:qFormat/>
    <w:uiPriority w:val="99"/>
    <w:rPr>
      <w:rFonts w:ascii="Times New Roman" w:hAnsi="Times New Roman" w:eastAsia="宋体"/>
      <w:kern w:val="2"/>
      <w:sz w:val="18"/>
      <w:szCs w:val="18"/>
    </w:rPr>
  </w:style>
  <w:style w:type="character" w:customStyle="1" w:styleId="15">
    <w:name w:val="批注框文本 字符"/>
    <w:link w:val="3"/>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temp\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46</Pages>
  <Words>4339</Words>
  <Characters>24735</Characters>
  <Lines>206</Lines>
  <Paragraphs>58</Paragraphs>
  <TotalTime>0</TotalTime>
  <ScaleCrop>false</ScaleCrop>
  <LinksUpToDate>false</LinksUpToDate>
  <CharactersWithSpaces>29016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2021-08-18T16:18:00Z</dcterms:created>
  <dc:creator>陈长军(拟稿)</dc:creator>
  <cp:lastModifiedBy>WPS_1482460965</cp:lastModifiedBy>
  <cp:lastPrinted>2017-12-05T07:25:00Z</cp:lastPrinted>
  <dcterms:modified xsi:type="dcterms:W3CDTF">2021-09-03T08:43:45Z</dcterms:modified>
  <dc:title>关于做好2018年省以下地方预决算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E8EC3DAC9C4A40ACA4455112BA0D2090</vt:lpwstr>
  </property>
</Properties>
</file>